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郑州市社会投资类工程建设项目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“用地清单制”实施细则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right="0" w:firstLine="640" w:firstLineChars="200"/>
        <w:jc w:val="center"/>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为贯彻全市关于深化“放管服”改革和优化营商环境的统一部署，落实工程建设项目审批制度改革要求，进一步构建便捷高效的审批体系、</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优化营商环境，我市在“标准地”出让的基础上，</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结合我市实际，针对社会投资类工程建设项目，创新性地建立</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zh-CN" w:eastAsia="zh-CN" w:bidi="ar-SA"/>
        </w:rPr>
        <w:t>“用</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地清单制”，</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以</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提高项目建设效率，实现</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zh-CN" w:eastAsia="zh-CN" w:bidi="ar-SA"/>
        </w:rPr>
        <w:t>“拿</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地即实施”。</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实施细则如下：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适用范围</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本细则适用于</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中心城区（</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市内五区、郑东新区、经开区、高新区）以出让方式供应的社会投资类项目。</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创新</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性</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推出“用地清单制”,提前完成建设项目审批涉及的前置性评估（普查）工作，</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是</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强化</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zh-CN" w:eastAsia="zh-CN" w:bidi="ar-SA"/>
        </w:rPr>
        <w:t>“拿</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地即</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实施</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”的</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重要举措</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。具体由市自然资源和规划局、市</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级</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土地储备</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机构</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和各行业主管部门、公共服务企业，在经营</w:t>
      </w:r>
      <w:bookmarkStart w:id="0" w:name="_GoBack"/>
      <w:bookmarkEnd w:id="0"/>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性土地出让前，以</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zh-CN" w:eastAsia="zh-CN" w:bidi="ar-SA"/>
        </w:rPr>
        <w:t>“多规</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合一”为基础，全面明确项目建设相关管控等要求，形成一张清单，在出让土地时一并交付用地单位，作为项目审批管理、技术审查的主要依据。</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其他县、市（区）可参照执行。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val="en-US" w:eastAsia="zh-CN" w:bidi="ar-SA"/>
        </w:rPr>
        <w:t>备注：</w:t>
      </w:r>
      <w:r>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eastAsia="zh-CN" w:bidi="ar-SA"/>
        </w:rPr>
        <w:t>社会投资</w:t>
      </w:r>
      <w:r>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val="en-US" w:eastAsia="zh-CN" w:bidi="ar-SA"/>
        </w:rPr>
        <w:t>类</w:t>
      </w:r>
      <w:r>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eastAsia="zh-CN" w:bidi="ar-SA"/>
        </w:rPr>
        <w:t>项目是指国内企业及自收自支的事业单位、社会团体、民间组织等利用自有资金或通过融资方式在本市范围内进行建设的固定资产投资项目。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val="en-US" w:eastAsia="zh-CN" w:bidi="ar-SA"/>
        </w:rPr>
      </w:pPr>
      <w:r>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eastAsia="zh-CN" w:bidi="ar-SA"/>
        </w:rPr>
        <w:t>公共服务企业指以保障民生、服务社会、提供公共产品和服务为主要目标的国有企业，如邮政、电信、供电、供水、供气、供热和公共交通等为公众提供产品、服务的企业。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工作实施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市自然资源和规划局</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val="en-US" w:eastAsia="zh-CN" w:bidi="ar-SA"/>
        </w:rPr>
        <w:t>负责</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组织实施，</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val="en-US" w:eastAsia="zh-CN" w:bidi="ar-SA"/>
        </w:rPr>
        <w:t>各</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区(</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val="en-US" w:eastAsia="zh-CN" w:bidi="ar-SA"/>
        </w:rPr>
        <w:t>开发区</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)自然资源管理部门负责协调、落实，市</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val="en-US" w:eastAsia="zh-CN" w:bidi="ar-SA"/>
        </w:rPr>
        <w:t>级</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土地储备</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val="en-US" w:eastAsia="zh-CN" w:bidi="ar-SA"/>
        </w:rPr>
        <w:t>机构</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val="en-US" w:eastAsia="zh-CN" w:bidi="ar-SA"/>
        </w:rPr>
        <w:t>各做地</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主体负责向各行业主管部门、</w:t>
      </w:r>
      <w:r>
        <w:rPr>
          <w:rFonts w:hint="eastAsia" w:ascii="仿宋_GB2312" w:hAnsi="仿宋_GB2312" w:eastAsia="仿宋_GB2312" w:cs="仿宋_GB2312"/>
          <w:b w:val="0"/>
          <w:bCs w:val="0"/>
          <w:i w:val="0"/>
          <w:iCs w:val="0"/>
          <w:caps w:val="0"/>
          <w:color w:val="24292F"/>
          <w:spacing w:val="0"/>
          <w:w w:val="100"/>
          <w:kern w:val="2"/>
          <w:position w:val="0"/>
          <w:sz w:val="32"/>
          <w:szCs w:val="32"/>
          <w:highlight w:val="none"/>
          <w:shd w:val="clear" w:color="auto" w:fill="auto"/>
          <w:lang w:eastAsia="zh-CN" w:bidi="ar-SA"/>
        </w:rPr>
        <w:t>公共服务企业</w:t>
      </w: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申报办理各项工作。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eastAsia" w:ascii="楷体_GB2312" w:hAnsi="楷体_GB2312" w:eastAsia="楷体_GB2312" w:cs="楷体_GB2312"/>
          <w:b/>
          <w:bCs/>
          <w:i w:val="0"/>
          <w:iCs w:val="0"/>
          <w:caps w:val="0"/>
          <w:color w:val="24292F"/>
          <w:spacing w:val="0"/>
          <w:w w:val="100"/>
          <w:kern w:val="2"/>
          <w:position w:val="0"/>
          <w:sz w:val="32"/>
          <w:szCs w:val="32"/>
          <w:shd w:val="clear" w:color="auto" w:fill="auto"/>
          <w:lang w:eastAsia="zh-CN" w:bidi="ar-SA"/>
        </w:rPr>
      </w:pPr>
      <w:r>
        <w:rPr>
          <w:rFonts w:hint="eastAsia" w:ascii="楷体_GB2312" w:hAnsi="楷体_GB2312" w:eastAsia="楷体_GB2312" w:cs="楷体_GB2312"/>
          <w:b/>
          <w:bCs/>
          <w:i w:val="0"/>
          <w:iCs w:val="0"/>
          <w:caps w:val="0"/>
          <w:color w:val="24292F"/>
          <w:spacing w:val="0"/>
          <w:w w:val="100"/>
          <w:kern w:val="2"/>
          <w:position w:val="0"/>
          <w:sz w:val="32"/>
          <w:szCs w:val="32"/>
          <w:shd w:val="clear" w:color="auto" w:fill="auto"/>
          <w:lang w:eastAsia="zh-CN" w:bidi="ar-SA"/>
        </w:rPr>
        <w:t>（一）评估（普查）事项</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实施评估（普查）事项主要包括地质灾害、压覆矿产、地震安全、气候可行性、水土保持、</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土壤污染</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、文物保护及考古调查勘探发掘等评估，以及历史建筑，古树名木、人防工程、地下管线等普查。</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（评估（普查）事项涉及的单位：自然资源和规划、发改委、城建、水利、文物、人防、地震、气象、园林、生态环境、轨道交通、应急管理局和公共服务企业等部门）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eastAsia" w:ascii="楷体_GB2312" w:hAnsi="楷体_GB2312" w:eastAsia="楷体_GB2312" w:cs="楷体_GB2312"/>
          <w:b/>
          <w:bCs/>
          <w:i w:val="0"/>
          <w:iCs w:val="0"/>
          <w:caps w:val="0"/>
          <w:color w:val="24292F"/>
          <w:spacing w:val="0"/>
          <w:w w:val="100"/>
          <w:kern w:val="2"/>
          <w:position w:val="0"/>
          <w:sz w:val="32"/>
          <w:szCs w:val="32"/>
          <w:shd w:val="clear" w:color="auto" w:fill="auto"/>
          <w:lang w:eastAsia="zh-CN" w:bidi="ar-SA"/>
        </w:rPr>
      </w:pPr>
      <w:r>
        <w:rPr>
          <w:rFonts w:hint="eastAsia" w:ascii="楷体_GB2312" w:hAnsi="楷体_GB2312" w:eastAsia="楷体_GB2312" w:cs="楷体_GB2312"/>
          <w:b/>
          <w:bCs/>
          <w:i w:val="0"/>
          <w:iCs w:val="0"/>
          <w:caps w:val="0"/>
          <w:color w:val="24292F"/>
          <w:spacing w:val="0"/>
          <w:w w:val="100"/>
          <w:kern w:val="2"/>
          <w:position w:val="0"/>
          <w:sz w:val="32"/>
          <w:szCs w:val="32"/>
          <w:shd w:val="clear" w:color="auto" w:fill="auto"/>
          <w:lang w:eastAsia="zh-CN" w:bidi="ar-SA"/>
        </w:rPr>
        <w:t>（二）各单位工作内容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各市级行业主管部门负责制定评估（普查）技术标准、纳入“用地清单”的成果内容及形式、审查流程等配套政策及操作细则。各区政府（管委会）、市级土地储备机构作为具体组织实施单位，应按各行业主管部门制定的政策文件要求完成拟出让地块的评估（普查）工作，综合形成“用地清单”，纳入土地出让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auto"/>
          <w:spacing w:val="0"/>
          <w:w w:val="100"/>
          <w:kern w:val="2"/>
          <w:position w:val="0"/>
          <w:sz w:val="32"/>
          <w:szCs w:val="32"/>
          <w:shd w:val="clear" w:color="auto" w:fill="auto"/>
          <w:lang w:eastAsia="zh-CN" w:bidi="ar-SA"/>
        </w:rPr>
        <w:t>自然资源和规划部门：</w:t>
      </w:r>
      <w:r>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t>位于地质灾害易发区的拟出让地块，指导开展地质灾害危险性评估；拟出让地块压覆重要矿产资源的，指导开展压矿审批。</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w w:val="100"/>
          <w:kern w:val="2"/>
          <w:position w:val="0"/>
          <w:sz w:val="32"/>
          <w:szCs w:val="32"/>
          <w:shd w:val="clear" w:color="auto" w:fill="auto"/>
          <w:lang w:val="en-US" w:eastAsia="zh-CN" w:bidi="ar-SA"/>
        </w:rPr>
      </w:pPr>
      <w:r>
        <w:rPr>
          <w:rFonts w:hint="eastAsia" w:ascii="仿宋_GB2312" w:hAnsi="仿宋_GB2312" w:eastAsia="仿宋_GB2312" w:cs="仿宋_GB2312"/>
          <w:b/>
          <w:bCs/>
          <w:i w:val="0"/>
          <w:iCs w:val="0"/>
          <w:caps w:val="0"/>
          <w:color w:val="auto"/>
          <w:spacing w:val="0"/>
          <w:w w:val="100"/>
          <w:kern w:val="2"/>
          <w:position w:val="0"/>
          <w:sz w:val="32"/>
          <w:szCs w:val="32"/>
          <w:shd w:val="clear" w:color="auto" w:fill="auto"/>
          <w:lang w:eastAsia="zh-CN" w:bidi="ar-SA"/>
        </w:rPr>
        <w:t>城建部门：</w:t>
      </w:r>
      <w:r>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t>依据规划对纳入历史建筑保护名录的建筑的具体保护要求进行明确。</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auto"/>
          <w:spacing w:val="0"/>
          <w:w w:val="100"/>
          <w:kern w:val="2"/>
          <w:position w:val="0"/>
          <w:sz w:val="32"/>
          <w:szCs w:val="32"/>
          <w:shd w:val="clear" w:color="auto" w:fill="auto"/>
          <w:lang w:eastAsia="zh-CN" w:bidi="ar-SA"/>
        </w:rPr>
        <w:t>城管部门：</w:t>
      </w:r>
      <w:r>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t>拟出让地块范围内地下管线现状普查，涉及迁改的提出迁改意见，提出项目用地配套基础设施建设条件要求。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auto"/>
          <w:spacing w:val="0"/>
          <w:w w:val="100"/>
          <w:kern w:val="2"/>
          <w:position w:val="0"/>
          <w:sz w:val="32"/>
          <w:szCs w:val="32"/>
          <w:shd w:val="clear" w:color="auto" w:fill="auto"/>
          <w:lang w:eastAsia="zh-CN" w:bidi="ar-SA"/>
        </w:rPr>
        <w:t>水利部门：</w:t>
      </w:r>
      <w:r>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t>项目开工前，做地单位应当编制水土保持方案，报水行政主管部门审批并取得行政许可。</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auto"/>
          <w:spacing w:val="0"/>
          <w:w w:val="100"/>
          <w:kern w:val="2"/>
          <w:position w:val="0"/>
          <w:sz w:val="32"/>
          <w:szCs w:val="32"/>
          <w:highlight w:val="none"/>
          <w:shd w:val="clear" w:color="auto" w:fill="auto"/>
          <w:lang w:eastAsia="zh-CN" w:bidi="ar-SA"/>
        </w:rPr>
        <w:t>文</w:t>
      </w:r>
      <w:r>
        <w:rPr>
          <w:rFonts w:hint="eastAsia" w:ascii="仿宋_GB2312" w:hAnsi="仿宋_GB2312" w:eastAsia="仿宋_GB2312" w:cs="仿宋_GB2312"/>
          <w:b/>
          <w:bCs/>
          <w:i w:val="0"/>
          <w:iCs w:val="0"/>
          <w:caps w:val="0"/>
          <w:color w:val="auto"/>
          <w:spacing w:val="0"/>
          <w:w w:val="100"/>
          <w:kern w:val="2"/>
          <w:position w:val="0"/>
          <w:sz w:val="32"/>
          <w:szCs w:val="32"/>
          <w:highlight w:val="none"/>
          <w:shd w:val="clear" w:color="auto" w:fill="auto"/>
          <w:lang w:val="en-US" w:eastAsia="zh-CN" w:bidi="ar-SA"/>
        </w:rPr>
        <w:t>物</w:t>
      </w:r>
      <w:r>
        <w:rPr>
          <w:rFonts w:hint="eastAsia" w:ascii="仿宋_GB2312" w:hAnsi="仿宋_GB2312" w:eastAsia="仿宋_GB2312" w:cs="仿宋_GB2312"/>
          <w:b/>
          <w:bCs/>
          <w:i w:val="0"/>
          <w:iCs w:val="0"/>
          <w:caps w:val="0"/>
          <w:color w:val="auto"/>
          <w:spacing w:val="0"/>
          <w:w w:val="100"/>
          <w:kern w:val="2"/>
          <w:position w:val="0"/>
          <w:sz w:val="32"/>
          <w:szCs w:val="32"/>
          <w:highlight w:val="none"/>
          <w:shd w:val="clear" w:color="auto" w:fill="auto"/>
          <w:lang w:eastAsia="zh-CN" w:bidi="ar-SA"/>
        </w:rPr>
        <w:t>部门：</w:t>
      </w:r>
      <w:r>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t>根据文物保护及考古调查、勘探、发掘情况，提出拟出让地块范围内地上、地下文物保护的具体保护要求，出具意见。</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eastAsia="zh-CN" w:bidi="ar-SA"/>
        </w:rPr>
        <w:t>人防部门：</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提出拟出让地块范围内人防工程管控意见及其他需要明确的要求。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eastAsia="zh-CN" w:bidi="ar-SA"/>
        </w:rPr>
        <w:t>地震部门：</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提出拟出让地块范围内建设工程抗震设防要求。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24292F"/>
          <w:spacing w:val="0"/>
          <w:w w:val="100"/>
          <w:kern w:val="2"/>
          <w:position w:val="0"/>
          <w:sz w:val="32"/>
          <w:szCs w:val="32"/>
          <w:shd w:val="clear" w:color="auto" w:fill="auto"/>
          <w:lang w:eastAsia="zh-CN" w:bidi="ar-SA"/>
        </w:rPr>
        <w:t>气象部门：</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组织对拟出让地块范围内气候可行性报告进行评审，并出具评估意见。</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w w:val="100"/>
          <w:kern w:val="2"/>
          <w:position w:val="0"/>
          <w:sz w:val="32"/>
          <w:szCs w:val="32"/>
          <w:highlight w:val="none"/>
          <w:shd w:val="clear" w:color="auto" w:fill="auto"/>
          <w:lang w:eastAsia="zh-CN" w:bidi="ar-SA"/>
        </w:rPr>
      </w:pPr>
      <w:r>
        <w:rPr>
          <w:rFonts w:hint="eastAsia" w:ascii="仿宋_GB2312" w:hAnsi="仿宋_GB2312" w:eastAsia="仿宋_GB2312" w:cs="仿宋_GB2312"/>
          <w:b/>
          <w:bCs/>
          <w:i w:val="0"/>
          <w:iCs w:val="0"/>
          <w:caps w:val="0"/>
          <w:color w:val="auto"/>
          <w:spacing w:val="0"/>
          <w:w w:val="100"/>
          <w:kern w:val="2"/>
          <w:position w:val="0"/>
          <w:sz w:val="32"/>
          <w:szCs w:val="32"/>
          <w:highlight w:val="none"/>
          <w:shd w:val="clear" w:color="auto" w:fill="auto"/>
          <w:lang w:eastAsia="zh-CN" w:bidi="ar-SA"/>
        </w:rPr>
        <w:t>园林部门：</w:t>
      </w:r>
      <w:r>
        <w:rPr>
          <w:rFonts w:hint="eastAsia" w:ascii="仿宋_GB2312" w:hAnsi="仿宋_GB2312" w:eastAsia="仿宋_GB2312" w:cs="仿宋_GB2312"/>
          <w:i w:val="0"/>
          <w:iCs w:val="0"/>
          <w:caps w:val="0"/>
          <w:color w:val="auto"/>
          <w:spacing w:val="0"/>
          <w:w w:val="100"/>
          <w:kern w:val="2"/>
          <w:position w:val="0"/>
          <w:sz w:val="32"/>
          <w:szCs w:val="32"/>
          <w:highlight w:val="none"/>
          <w:shd w:val="clear" w:color="auto" w:fill="auto"/>
          <w:lang w:eastAsia="zh-CN" w:bidi="ar-SA"/>
        </w:rPr>
        <w:t>提出拟出让地块范围内园林绿化的处理意见和古树名木及古树后备资源的具体保护要求。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auto"/>
          <w:spacing w:val="0"/>
          <w:w w:val="100"/>
          <w:kern w:val="2"/>
          <w:position w:val="0"/>
          <w:sz w:val="32"/>
          <w:szCs w:val="32"/>
          <w:highlight w:val="none"/>
          <w:shd w:val="clear" w:color="auto" w:fill="auto"/>
          <w:lang w:eastAsia="zh-CN" w:bidi="ar-SA"/>
        </w:rPr>
        <w:t>生态环境部门：</w:t>
      </w:r>
      <w:r>
        <w:rPr>
          <w:rFonts w:hint="eastAsia" w:ascii="仿宋_GB2312" w:hAnsi="仿宋_GB2312" w:eastAsia="仿宋_GB2312" w:cs="仿宋_GB2312"/>
          <w:i w:val="0"/>
          <w:iCs w:val="0"/>
          <w:caps w:val="0"/>
          <w:color w:val="auto"/>
          <w:spacing w:val="0"/>
          <w:w w:val="100"/>
          <w:kern w:val="2"/>
          <w:position w:val="0"/>
          <w:sz w:val="32"/>
          <w:szCs w:val="32"/>
          <w:shd w:val="clear" w:color="auto" w:fill="auto"/>
          <w:lang w:eastAsia="zh-CN" w:bidi="ar-SA"/>
        </w:rPr>
        <w:t>提出拟出让地块范围内是否完成土壤污染状况调查的意见。</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auto"/>
          <w:spacing w:val="0"/>
          <w:w w:val="100"/>
          <w:kern w:val="2"/>
          <w:position w:val="0"/>
          <w:sz w:val="32"/>
          <w:szCs w:val="32"/>
          <w:shd w:val="clear" w:color="auto" w:fill="auto"/>
          <w:lang w:val="en-US" w:eastAsia="zh-CN" w:bidi="ar-SA"/>
        </w:rPr>
        <w:t>轨道</w:t>
      </w:r>
      <w:r>
        <w:rPr>
          <w:rFonts w:hint="eastAsia" w:ascii="仿宋_GB2312" w:hAnsi="仿宋_GB2312" w:eastAsia="仿宋_GB2312" w:cs="仿宋_GB2312"/>
          <w:b/>
          <w:bCs/>
          <w:i w:val="0"/>
          <w:iCs w:val="0"/>
          <w:caps w:val="0"/>
          <w:color w:val="auto"/>
          <w:spacing w:val="0"/>
          <w:w w:val="100"/>
          <w:kern w:val="2"/>
          <w:position w:val="0"/>
          <w:sz w:val="32"/>
          <w:szCs w:val="32"/>
          <w:shd w:val="clear" w:color="auto" w:fill="auto"/>
          <w:lang w:eastAsia="zh-CN" w:bidi="ar-SA"/>
        </w:rPr>
        <w:t>交通部门：</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eastAsia="zh-CN" w:bidi="ar-SA"/>
        </w:rPr>
        <w:t>已运营和在建轨道线路及站点数据汇集至“多规合一”业务协同平台。针对位于已运营和在建线路轨道保护区范围内的项目，提出管控要求。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eastAsia="zh-CN" w:bidi="ar-SA"/>
        </w:rPr>
      </w:pPr>
      <w:r>
        <w:rPr>
          <w:rFonts w:hint="eastAsia" w:ascii="仿宋_GB2312" w:hAnsi="仿宋_GB2312" w:eastAsia="仿宋_GB2312" w:cs="仿宋_GB2312"/>
          <w:b/>
          <w:bCs/>
          <w:i w:val="0"/>
          <w:iCs w:val="0"/>
          <w:caps w:val="0"/>
          <w:color w:val="auto"/>
          <w:spacing w:val="0"/>
          <w:w w:val="100"/>
          <w:kern w:val="2"/>
          <w:position w:val="0"/>
          <w:sz w:val="32"/>
          <w:szCs w:val="32"/>
          <w:shd w:val="clear" w:color="auto" w:fill="auto"/>
          <w:lang w:val="en-US" w:eastAsia="zh-CN" w:bidi="ar-SA"/>
        </w:rPr>
        <w:t>轨道</w:t>
      </w:r>
      <w:r>
        <w:rPr>
          <w:rFonts w:hint="eastAsia" w:ascii="仿宋_GB2312" w:hAnsi="仿宋_GB2312" w:eastAsia="仿宋_GB2312" w:cs="仿宋_GB2312"/>
          <w:b/>
          <w:bCs/>
          <w:i w:val="0"/>
          <w:iCs w:val="0"/>
          <w:caps w:val="0"/>
          <w:color w:val="auto"/>
          <w:spacing w:val="0"/>
          <w:w w:val="100"/>
          <w:kern w:val="2"/>
          <w:position w:val="0"/>
          <w:sz w:val="32"/>
          <w:szCs w:val="32"/>
          <w:shd w:val="clear" w:color="auto" w:fill="auto"/>
          <w:lang w:eastAsia="zh-CN" w:bidi="ar-SA"/>
        </w:rPr>
        <w:t>交通规划部门：</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eastAsia="zh-CN" w:bidi="ar-SA"/>
        </w:rPr>
        <w:t>规划轨道线路及站点数据汇集至“多规合一”业务协同平台。针对位于规划线路轨道交通控制保护区范围内的项目，提出管控要求。”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640" w:firstLineChars="200"/>
        <w:jc w:val="both"/>
        <w:textAlignment w:val="auto"/>
        <w:rPr>
          <w:rFonts w:hint="eastAsia" w:ascii="仿宋_GB2312" w:hAnsi="仿宋_GB2312" w:eastAsia="仿宋_GB2312" w:cs="仿宋_GB2312"/>
          <w:b w:val="0"/>
          <w:bCs w:val="0"/>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eastAsia="zh-CN" w:bidi="ar-SA"/>
        </w:rPr>
        <w:t>除</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val="en-US" w:eastAsia="zh-CN" w:bidi="ar-SA"/>
        </w:rPr>
        <w:t>上述清单内容</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eastAsia="zh-CN" w:bidi="ar-SA"/>
        </w:rPr>
        <w:t>外，市</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val="en-US" w:eastAsia="zh-CN" w:bidi="ar-SA"/>
        </w:rPr>
        <w:t>级</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eastAsia="zh-CN" w:bidi="ar-SA"/>
        </w:rPr>
        <w:t>土地储备</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val="en-US" w:eastAsia="zh-CN" w:bidi="ar-SA"/>
        </w:rPr>
        <w:t>机构</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eastAsia="zh-CN" w:bidi="ar-SA"/>
        </w:rPr>
        <w:t>、</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val="en-US" w:eastAsia="zh-CN" w:bidi="ar-SA"/>
        </w:rPr>
        <w:t>做地</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eastAsia="zh-CN" w:bidi="ar-SA"/>
        </w:rPr>
        <w:t>主体</w:t>
      </w:r>
      <w:r>
        <w:rPr>
          <w:rFonts w:hint="eastAsia" w:ascii="仿宋_GB2312" w:hAnsi="仿宋_GB2312" w:eastAsia="仿宋_GB2312" w:cs="仿宋_GB2312"/>
          <w:b w:val="0"/>
          <w:bCs w:val="0"/>
          <w:i w:val="0"/>
          <w:iCs w:val="0"/>
          <w:caps w:val="0"/>
          <w:color w:val="auto"/>
          <w:spacing w:val="0"/>
          <w:w w:val="100"/>
          <w:kern w:val="2"/>
          <w:position w:val="0"/>
          <w:sz w:val="32"/>
          <w:szCs w:val="32"/>
          <w:shd w:val="clear" w:color="auto" w:fill="auto"/>
          <w:lang w:val="en-US" w:eastAsia="zh-CN" w:bidi="ar-SA"/>
        </w:rPr>
        <w:t>可</w:t>
      </w:r>
      <w:r>
        <w:rPr>
          <w:rFonts w:hint="eastAsia" w:ascii="仿宋_GB2312" w:hAnsi="仿宋_GB2312" w:eastAsia="仿宋_GB2312" w:cs="仿宋_GB2312"/>
          <w:b w:val="0"/>
          <w:bCs w:val="0"/>
          <w:i w:val="0"/>
          <w:iCs w:val="0"/>
          <w:caps w:val="0"/>
          <w:color w:val="24292F"/>
          <w:spacing w:val="0"/>
          <w:w w:val="100"/>
          <w:kern w:val="2"/>
          <w:position w:val="0"/>
          <w:sz w:val="32"/>
          <w:szCs w:val="32"/>
          <w:shd w:val="clear" w:color="auto" w:fill="auto"/>
          <w:lang w:eastAsia="zh-CN" w:bidi="ar-SA"/>
        </w:rPr>
        <w:t>根据实际情况，</w:t>
      </w:r>
      <w:r>
        <w:rPr>
          <w:rFonts w:hint="eastAsia" w:ascii="仿宋_GB2312" w:hAnsi="仿宋_GB2312" w:eastAsia="仿宋_GB2312" w:cs="仿宋_GB2312"/>
          <w:b w:val="0"/>
          <w:bCs w:val="0"/>
          <w:i w:val="0"/>
          <w:iCs w:val="0"/>
          <w:caps w:val="0"/>
          <w:color w:val="24292F"/>
          <w:spacing w:val="0"/>
          <w:w w:val="100"/>
          <w:kern w:val="2"/>
          <w:position w:val="0"/>
          <w:sz w:val="32"/>
          <w:szCs w:val="32"/>
          <w:shd w:val="clear" w:color="auto" w:fill="auto"/>
          <w:lang w:val="en-US" w:eastAsia="zh-CN" w:bidi="ar-SA"/>
        </w:rPr>
        <w:t>增加其他清单内容，并向</w:t>
      </w:r>
      <w:r>
        <w:rPr>
          <w:rFonts w:hint="eastAsia" w:ascii="仿宋_GB2312" w:hAnsi="仿宋_GB2312" w:eastAsia="仿宋_GB2312" w:cs="仿宋_GB2312"/>
          <w:b w:val="0"/>
          <w:bCs w:val="0"/>
          <w:i w:val="0"/>
          <w:iCs w:val="0"/>
          <w:caps w:val="0"/>
          <w:color w:val="24292F"/>
          <w:spacing w:val="0"/>
          <w:w w:val="100"/>
          <w:kern w:val="2"/>
          <w:position w:val="0"/>
          <w:sz w:val="32"/>
          <w:szCs w:val="32"/>
          <w:shd w:val="clear" w:color="auto" w:fill="auto"/>
          <w:lang w:eastAsia="zh-CN" w:bidi="ar-SA"/>
        </w:rPr>
        <w:t>行业主管部门征询意见。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工作程序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（一）组织实施单位结合年度土</w:t>
      </w:r>
      <w:r>
        <w:rPr>
          <w:rFonts w:hint="eastAsia" w:ascii="仿宋_GB2312" w:hAnsi="仿宋_GB2312" w:eastAsia="仿宋_GB2312" w:cs="仿宋_GB2312"/>
          <w:b w:val="0"/>
          <w:bCs w:val="0"/>
          <w:i w:val="0"/>
          <w:iCs w:val="0"/>
          <w:caps w:val="0"/>
          <w:color w:val="24292F"/>
          <w:spacing w:val="0"/>
          <w:w w:val="100"/>
          <w:kern w:val="2"/>
          <w:position w:val="0"/>
          <w:sz w:val="32"/>
          <w:szCs w:val="32"/>
          <w:shd w:val="clear" w:color="auto" w:fill="auto"/>
          <w:lang w:eastAsia="zh-CN" w:bidi="ar-SA"/>
        </w:rPr>
        <w:t>地</w:t>
      </w:r>
      <w:r>
        <w:rPr>
          <w:rFonts w:hint="eastAsia" w:ascii="仿宋_GB2312" w:hAnsi="仿宋_GB2312" w:eastAsia="仿宋_GB2312" w:cs="仿宋_GB2312"/>
          <w:b w:val="0"/>
          <w:bCs w:val="0"/>
          <w:i w:val="0"/>
          <w:iCs w:val="0"/>
          <w:caps w:val="0"/>
          <w:color w:val="24292F"/>
          <w:spacing w:val="0"/>
          <w:w w:val="100"/>
          <w:kern w:val="2"/>
          <w:position w:val="0"/>
          <w:sz w:val="32"/>
          <w:szCs w:val="32"/>
          <w:shd w:val="clear" w:color="auto" w:fill="auto"/>
          <w:lang w:val="en-US" w:eastAsia="zh-CN" w:bidi="ar-SA"/>
        </w:rPr>
        <w:t>做地计划</w:t>
      </w:r>
      <w:r>
        <w:rPr>
          <w:rFonts w:hint="eastAsia" w:ascii="仿宋_GB2312" w:hAnsi="仿宋_GB2312" w:eastAsia="仿宋_GB2312" w:cs="仿宋_GB2312"/>
          <w:b w:val="0"/>
          <w:bCs w:val="0"/>
          <w:i w:val="0"/>
          <w:iCs w:val="0"/>
          <w:caps w:val="0"/>
          <w:color w:val="24292F"/>
          <w:spacing w:val="0"/>
          <w:w w:val="100"/>
          <w:kern w:val="2"/>
          <w:position w:val="0"/>
          <w:sz w:val="32"/>
          <w:szCs w:val="32"/>
          <w:shd w:val="clear" w:color="auto" w:fill="auto"/>
          <w:lang w:eastAsia="zh-CN" w:bidi="ar-SA"/>
        </w:rPr>
        <w:t>和土地供应计划，主动对接相关行业主管部门，按照规定有序开</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展拟出让地块的评估（普查）。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二）组织实施单位逐项形成“用地清单”初步成果，并梳理拟出让地块位置、范围、权属等情况，以及规划条件、宗地信息（包括区位图、现场照片），按行业主管部门制定的管理流程报请审查。各行业主管部门根据工作内容要求开展审查，将各自的管理要求、技术要点、控制指标等管理信息，以书面形式加盖公章后，反馈给组织实施单位，形成“用地清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（三）组织实施单位在土地出让前，将汇总各评估普查事项形成的“用地清单”，报送自然资源和规划部门通过“多规合一”业务协同平台，发送至各相关行业主管部门确认。</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highlight w:val="none"/>
          <w:shd w:val="clear" w:color="auto" w:fill="auto"/>
          <w:lang w:eastAsia="zh-CN" w:bidi="ar-SA"/>
        </w:rPr>
        <w:t>（四）各相关行业主管部门在5个工作日内（逾期未反馈视为无意见），依职能确认“用地清单”相关内容及管理要求，通过“多规合一”业务协同平台反馈。汇总各相关行政主管部门意见后的“用地清单”，纳入国土空间“一张图”实施监督系统管理，并作为土地委托出让附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（五）各相关行业主管部门在项目后续报建及验收环节，原则上不再增加清单外的要求；如因技术标准等原因确需增加的，应根据实际情况依法完善评估（普查）事项。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保障措施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楷体_GB2312" w:hAnsi="楷体_GB2312" w:eastAsia="楷体_GB2312" w:cs="楷体_GB2312"/>
          <w:b/>
          <w:bCs/>
          <w:i w:val="0"/>
          <w:iCs w:val="0"/>
          <w:caps w:val="0"/>
          <w:color w:val="24292F"/>
          <w:spacing w:val="0"/>
          <w:w w:val="100"/>
          <w:kern w:val="2"/>
          <w:position w:val="0"/>
          <w:sz w:val="32"/>
          <w:szCs w:val="32"/>
          <w:shd w:val="clear" w:color="auto" w:fill="auto"/>
          <w:lang w:eastAsia="zh-CN" w:bidi="ar-SA"/>
        </w:rPr>
        <w:t>（一）严格督促落实。</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各相关部门要提高政治站位，充分认识优化营商环境工作的重要意义，依照本细则及各自职能履行职责，做好工作指导，加强部门协作。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楷体_GB2312" w:hAnsi="楷体_GB2312" w:eastAsia="楷体_GB2312" w:cs="楷体_GB2312"/>
          <w:b/>
          <w:bCs/>
          <w:i w:val="0"/>
          <w:iCs w:val="0"/>
          <w:caps w:val="0"/>
          <w:color w:val="24292F"/>
          <w:spacing w:val="0"/>
          <w:w w:val="100"/>
          <w:kern w:val="2"/>
          <w:position w:val="0"/>
          <w:sz w:val="32"/>
          <w:szCs w:val="32"/>
          <w:shd w:val="clear" w:color="auto" w:fill="auto"/>
          <w:lang w:eastAsia="zh-CN" w:bidi="ar-SA"/>
        </w:rPr>
        <w:t>（二）提高审批效率。</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土地出让后，各相关行政主管部门应当严格按照清单范围，做好项目后续报建审查、竣工验收等工作，提高审批效率。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3"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楷体_GB2312" w:hAnsi="楷体_GB2312" w:eastAsia="楷体_GB2312" w:cs="楷体_GB2312"/>
          <w:b/>
          <w:bCs/>
          <w:i w:val="0"/>
          <w:iCs w:val="0"/>
          <w:caps w:val="0"/>
          <w:color w:val="24292F"/>
          <w:spacing w:val="0"/>
          <w:w w:val="100"/>
          <w:kern w:val="2"/>
          <w:position w:val="0"/>
          <w:sz w:val="32"/>
          <w:szCs w:val="32"/>
          <w:shd w:val="clear" w:color="auto" w:fill="auto"/>
          <w:lang w:eastAsia="zh-CN" w:bidi="ar-SA"/>
        </w:rPr>
        <w:t>（三）加强监督检查。</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各行业主管部门及项目建设主管部门应当依法依规加强对建设项目的检查核实，土地受让单位是否按照评估（普查）提出的相关要求落实，针对未落实的行为及时发现、制止并纠正，确保评估（普查）工作有效实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其他事项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t>实施评估（普查）的区域，在实施前已经开展了单个或多个专项评估并经行业主管部门审查同意，仍处于有效期内并符合当前管理要求的评估（普查）事项，无需重复开展。经批准的评估（普查）报告在有效期内的应予以采用，不再重复评估，若发生重大国家政策调整或发布了新的行业技术规范，负责进行评估（普查）的相关行业主管部门应当及时组织对原评估结果进行复核，通过后方可继续使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560" w:firstLineChars="200"/>
        <w:jc w:val="distribute"/>
        <w:textAlignment w:val="auto"/>
        <w:rPr>
          <w:rFonts w:hint="eastAsia" w:ascii="仿宋_GB2312" w:hAnsi="仿宋_GB2312" w:eastAsia="仿宋_GB2312" w:cs="仿宋_GB2312"/>
          <w:i w:val="0"/>
          <w:iCs w:val="0"/>
          <w:caps w:val="0"/>
          <w:color w:val="24292F"/>
          <w:spacing w:val="-20"/>
          <w:w w:val="100"/>
          <w:kern w:val="2"/>
          <w:position w:val="0"/>
          <w:sz w:val="32"/>
          <w:szCs w:val="32"/>
          <w:shd w:val="clear" w:color="auto" w:fill="auto"/>
          <w:lang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firstLine="560" w:firstLineChars="200"/>
        <w:jc w:val="distribute"/>
        <w:textAlignment w:val="auto"/>
        <w:rPr>
          <w:rFonts w:hint="eastAsia"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pPr>
      <w:r>
        <w:rPr>
          <w:rFonts w:hint="eastAsia" w:ascii="仿宋_GB2312" w:hAnsi="仿宋_GB2312" w:eastAsia="仿宋_GB2312" w:cs="仿宋_GB2312"/>
          <w:i w:val="0"/>
          <w:iCs w:val="0"/>
          <w:caps w:val="0"/>
          <w:color w:val="24292F"/>
          <w:spacing w:val="-20"/>
          <w:w w:val="100"/>
          <w:kern w:val="2"/>
          <w:position w:val="0"/>
          <w:sz w:val="32"/>
          <w:szCs w:val="32"/>
          <w:shd w:val="clear" w:color="auto" w:fill="auto"/>
          <w:lang w:eastAsia="zh-CN" w:bidi="ar-SA"/>
        </w:rPr>
        <w:t>附件：</w:t>
      </w:r>
      <w:r>
        <w:rPr>
          <w:rFonts w:hint="eastAsia" w:ascii="仿宋_GB2312" w:hAnsi="仿宋_GB2312" w:eastAsia="仿宋_GB2312" w:cs="仿宋_GB2312"/>
          <w:i w:val="0"/>
          <w:iCs w:val="0"/>
          <w:caps w:val="0"/>
          <w:color w:val="24292F"/>
          <w:spacing w:val="-20"/>
          <w:w w:val="100"/>
          <w:kern w:val="2"/>
          <w:position w:val="0"/>
          <w:sz w:val="32"/>
          <w:szCs w:val="32"/>
          <w:shd w:val="clear" w:color="auto" w:fill="auto"/>
          <w:lang w:val="en-US" w:eastAsia="zh-CN" w:bidi="ar-SA"/>
        </w:rPr>
        <w:t xml:space="preserve"> </w:t>
      </w:r>
      <w:r>
        <w:rPr>
          <w:rFonts w:hint="eastAsia" w:ascii="仿宋_GB2312" w:hAnsi="仿宋_GB2312" w:eastAsia="仿宋_GB2312" w:cs="仿宋_GB2312"/>
          <w:i w:val="0"/>
          <w:iCs w:val="0"/>
          <w:caps w:val="0"/>
          <w:color w:val="24292F"/>
          <w:spacing w:val="-20"/>
          <w:w w:val="100"/>
          <w:kern w:val="2"/>
          <w:position w:val="0"/>
          <w:sz w:val="32"/>
          <w:szCs w:val="32"/>
          <w:shd w:val="clear" w:color="auto" w:fill="auto"/>
          <w:lang w:eastAsia="zh-CN" w:bidi="ar-SA"/>
        </w:rPr>
        <w:t>1.</w:t>
      </w:r>
      <w:r>
        <w:rPr>
          <w:rFonts w:hint="eastAsia" w:ascii="仿宋_GB2312" w:hAnsi="仿宋_GB2312" w:eastAsia="仿宋_GB2312" w:cs="仿宋_GB2312"/>
          <w:i w:val="0"/>
          <w:iCs w:val="0"/>
          <w:caps w:val="0"/>
          <w:color w:val="24292F"/>
          <w:spacing w:val="-20"/>
          <w:w w:val="100"/>
          <w:kern w:val="2"/>
          <w:position w:val="0"/>
          <w:sz w:val="32"/>
          <w:szCs w:val="32"/>
          <w:shd w:val="clear" w:color="auto" w:fill="auto"/>
          <w:lang w:val="en-US" w:eastAsia="zh-CN" w:bidi="ar-SA"/>
        </w:rPr>
        <w:t>郑州市社会投资类工程建设项目“用地清单”一览表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left="0" w:leftChars="0" w:right="0" w:rightChars="0" w:firstLine="0" w:firstLineChars="0"/>
        <w:jc w:val="left"/>
        <w:textAlignment w:val="auto"/>
        <w:rPr>
          <w:rFonts w:hint="eastAsia" w:ascii="黑体" w:hAnsi="黑体" w:eastAsia="黑体" w:cs="黑体"/>
          <w:b w:val="0"/>
          <w:bCs w:val="0"/>
          <w:spacing w:val="16"/>
          <w:sz w:val="32"/>
          <w:szCs w:val="32"/>
          <w:lang w:val="en-US" w:eastAsia="zh-CN"/>
        </w:rPr>
      </w:pP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2.郑州</w:t>
      </w:r>
      <w:r>
        <w:rPr>
          <w:rFonts w:hint="eastAsia" w:ascii="仿宋_GB2312" w:hAnsi="仿宋_GB2312" w:eastAsia="仿宋_GB2312" w:cs="仿宋_GB2312"/>
          <w:i w:val="0"/>
          <w:iCs w:val="0"/>
          <w:caps w:val="0"/>
          <w:color w:val="24292F"/>
          <w:spacing w:val="0"/>
          <w:w w:val="100"/>
          <w:kern w:val="2"/>
          <w:position w:val="0"/>
          <w:sz w:val="32"/>
          <w:szCs w:val="32"/>
          <w:shd w:val="clear" w:color="auto" w:fill="auto"/>
          <w:lang w:val="en-US" w:eastAsia="zh-CN" w:bidi="ar-SA"/>
        </w:rPr>
        <w:t>市社会投资类工程建设项目用地清单制XXX宗地管理意见一览表</w:t>
      </w:r>
      <w:r>
        <w:rPr>
          <w:rFonts w:hint="default" w:ascii="仿宋_GB2312" w:hAnsi="仿宋_GB2312" w:eastAsia="仿宋_GB2312" w:cs="仿宋_GB2312"/>
          <w:i w:val="0"/>
          <w:iCs w:val="0"/>
          <w:caps w:val="0"/>
          <w:color w:val="24292F"/>
          <w:spacing w:val="0"/>
          <w:w w:val="100"/>
          <w:kern w:val="2"/>
          <w:position w:val="0"/>
          <w:sz w:val="32"/>
          <w:szCs w:val="32"/>
          <w:shd w:val="clear" w:color="auto" w:fill="auto"/>
          <w:lang w:eastAsia="zh-CN" w:bidi="ar-SA"/>
        </w:rPr>
        <w:br w:type="page"/>
      </w:r>
      <w:r>
        <w:rPr>
          <w:rFonts w:ascii="黑体" w:hAnsi="黑体" w:eastAsia="黑体" w:cs="黑体"/>
          <w:b w:val="0"/>
          <w:bCs w:val="0"/>
          <w:spacing w:val="16"/>
          <w:sz w:val="32"/>
          <w:szCs w:val="32"/>
        </w:rPr>
        <w:t>附件</w:t>
      </w:r>
      <w:r>
        <w:rPr>
          <w:rFonts w:hint="eastAsia" w:ascii="黑体" w:hAnsi="黑体" w:eastAsia="黑体" w:cs="黑体"/>
          <w:b w:val="0"/>
          <w:bCs w:val="0"/>
          <w:spacing w:val="16"/>
          <w:sz w:val="32"/>
          <w:szCs w:val="32"/>
          <w:lang w:val="en-US" w:eastAsia="zh-CN"/>
        </w:rPr>
        <w:t>1：</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after="0" w:line="560" w:lineRule="exact"/>
        <w:ind w:right="0" w:rightChars="0"/>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郑州市社会投资类工程建设项目“用地清单”一览表</w:t>
      </w:r>
    </w:p>
    <w:tbl>
      <w:tblPr>
        <w:tblStyle w:val="5"/>
        <w:tblW w:w="9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8"/>
        <w:gridCol w:w="1792"/>
        <w:gridCol w:w="1332"/>
        <w:gridCol w:w="3830"/>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序号</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指标类型</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职能部门(单位)</w:t>
            </w:r>
          </w:p>
        </w:tc>
        <w:tc>
          <w:tcPr>
            <w:tcW w:w="383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拟出让地块范围内管理清单内容</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pacing w:val="0"/>
                <w:w w:val="100"/>
                <w:kern w:val="0"/>
                <w:position w:val="0"/>
                <w:sz w:val="24"/>
                <w:szCs w:val="24"/>
                <w:u w:val="none"/>
                <w:shd w:val="clear" w:color="auto" w:fill="auto"/>
                <w:lang w:val="en-US" w:eastAsia="zh-CN" w:bidi="ar"/>
              </w:rPr>
              <w:t>清单完成情况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地质灾害</w:t>
            </w:r>
          </w:p>
        </w:tc>
        <w:tc>
          <w:tcPr>
            <w:tcW w:w="1332"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default" w:ascii="宋体" w:hAnsi="宋体" w:eastAsia="宋体" w:cs="宋体"/>
                <w:i w:val="0"/>
                <w:iCs w:val="0"/>
                <w:color w:val="auto"/>
                <w:spacing w:val="0"/>
                <w:w w:val="100"/>
                <w:kern w:val="0"/>
                <w:position w:val="0"/>
                <w:sz w:val="21"/>
                <w:szCs w:val="21"/>
                <w:u w:val="none"/>
                <w:shd w:val="clear" w:color="auto" w:fill="auto"/>
                <w:lang w:val="en-US" w:eastAsia="zh-CN" w:bidi="ar"/>
              </w:rPr>
              <w:t>自然资源</w:t>
            </w: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和</w:t>
            </w:r>
            <w:r>
              <w:rPr>
                <w:rFonts w:hint="default" w:ascii="宋体" w:hAnsi="宋体" w:eastAsia="宋体" w:cs="宋体"/>
                <w:i w:val="0"/>
                <w:iCs w:val="0"/>
                <w:color w:val="auto"/>
                <w:spacing w:val="0"/>
                <w:w w:val="100"/>
                <w:kern w:val="0"/>
                <w:position w:val="0"/>
                <w:sz w:val="21"/>
                <w:szCs w:val="21"/>
                <w:u w:val="none"/>
                <w:shd w:val="clear" w:color="auto" w:fill="auto"/>
                <w:lang w:val="en-US" w:eastAsia="zh-CN" w:bidi="ar"/>
              </w:rPr>
              <w:t>规划</w:t>
            </w: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部门</w:t>
            </w:r>
          </w:p>
        </w:tc>
        <w:tc>
          <w:tcPr>
            <w:tcW w:w="3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拟出让地块的地质灾害危险性评估报告</w:t>
            </w:r>
          </w:p>
        </w:tc>
        <w:tc>
          <w:tcPr>
            <w:tcW w:w="167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压覆矿产资源</w:t>
            </w:r>
          </w:p>
        </w:tc>
        <w:tc>
          <w:tcPr>
            <w:tcW w:w="133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c>
          <w:tcPr>
            <w:tcW w:w="38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拟出让地块压覆重要矿产资源批复</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3</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项目用地基础 配套设施建设条件</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城建部门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市住房和城乡建设局</w:t>
            </w: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XX项目用地配套基础设施建设条件意见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4</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地下管线现状普查</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城管部门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涉及迁改的提出意见，提出项目用地配套基础设施建设条件要求。</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5</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水土保持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水利部门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项目开工前，做地单位应当编制水土保持方案，报水行政主管部门审批并取得行政许可。</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6</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default" w:ascii="宋体" w:hAnsi="宋体" w:eastAsia="宋体" w:cs="宋体"/>
                <w:i w:val="0"/>
                <w:iCs w:val="0"/>
                <w:color w:val="auto"/>
                <w:spacing w:val="0"/>
                <w:w w:val="100"/>
                <w:kern w:val="0"/>
                <w:position w:val="0"/>
                <w:sz w:val="21"/>
                <w:szCs w:val="21"/>
                <w:u w:val="none"/>
                <w:shd w:val="clear" w:color="auto" w:fill="auto"/>
                <w:lang w:val="en-US" w:eastAsia="zh-CN" w:bidi="ar"/>
              </w:rPr>
              <w:t>文物</w:t>
            </w: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保护及考古调查、勘探、发掘</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default" w:ascii="宋体" w:hAnsi="宋体" w:eastAsia="宋体" w:cs="宋体"/>
                <w:i w:val="0"/>
                <w:iCs w:val="0"/>
                <w:color w:val="auto"/>
                <w:spacing w:val="0"/>
                <w:w w:val="100"/>
                <w:kern w:val="0"/>
                <w:position w:val="0"/>
                <w:sz w:val="21"/>
                <w:szCs w:val="21"/>
                <w:u w:val="none"/>
                <w:shd w:val="clear" w:color="auto" w:fill="auto"/>
                <w:lang w:val="en-US" w:eastAsia="zh-CN" w:bidi="ar"/>
              </w:rPr>
              <w:t>文</w:t>
            </w: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物部门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提出拟出让地块范围内地上、地下文物保护的具体保护要求，出具意见。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7</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人防</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人防部门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提出拟出让地块范围内人防工程管控意见及其他需要明确的要求。</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1"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8</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地震安全性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地震部门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建设工程是否需要开展地震安全性评价出具意见，并根据建设内容和建设规模初步确定抗震设防要求</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9</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气候可行性</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气象部门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气象局对项目气候可行性报告进行评审，并出具评估意见。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10</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古树名木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市政园林部门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对清点出的园林绿化提出处理意见，对古树名木及古树后备资源提出具体要求及保护意见。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11</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土壤污染状况调查</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生态环境部门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对土壤污染状况调查完成情况出具意见。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12</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轨道保护区范围内的项目</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u w:val="none"/>
                <w:shd w:val="clear" w:color="auto" w:fill="auto"/>
                <w:lang w:val="en-US" w:eastAsia="zh-CN" w:bidi="ar"/>
              </w:rPr>
              <w:t>轨道交通部门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对位于轨道保护区范围内的项目，出具管控意见。</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13</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14</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pP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57" w:beforeLines="50" w:after="0" w:line="312" w:lineRule="auto"/>
        <w:ind w:left="0" w:leftChars="0" w:right="0" w:firstLine="0" w:firstLineChars="0"/>
        <w:jc w:val="both"/>
        <w:textAlignment w:val="auto"/>
        <w:rPr>
          <w:rFonts w:ascii="黑体" w:hAnsi="黑体" w:eastAsia="黑体" w:cs="黑体"/>
          <w:sz w:val="32"/>
          <w:szCs w:val="32"/>
        </w:rPr>
      </w:pPr>
      <w:r>
        <w:rPr>
          <w:rFonts w:hint="eastAsia" w:ascii="宋体" w:hAnsi="宋体" w:eastAsia="宋体" w:cs="宋体"/>
          <w:i w:val="0"/>
          <w:iCs w:val="0"/>
          <w:color w:val="000000"/>
          <w:spacing w:val="0"/>
          <w:w w:val="100"/>
          <w:kern w:val="0"/>
          <w:position w:val="0"/>
          <w:sz w:val="21"/>
          <w:szCs w:val="21"/>
          <w:u w:val="none"/>
          <w:shd w:val="clear" w:color="auto" w:fill="auto"/>
          <w:lang w:val="en-US" w:eastAsia="zh-CN" w:bidi="ar"/>
        </w:rPr>
        <w:t>备注：</w:t>
      </w:r>
      <w:r>
        <w:rPr>
          <w:rFonts w:hint="default" w:ascii="宋体" w:hAnsi="宋体" w:eastAsia="宋体" w:cs="宋体"/>
          <w:i w:val="0"/>
          <w:iCs w:val="0"/>
          <w:color w:val="000000"/>
          <w:spacing w:val="0"/>
          <w:w w:val="100"/>
          <w:kern w:val="0"/>
          <w:position w:val="0"/>
          <w:sz w:val="21"/>
          <w:szCs w:val="21"/>
          <w:u w:val="none"/>
          <w:shd w:val="clear" w:color="auto" w:fill="auto"/>
          <w:lang w:val="en-US" w:eastAsia="zh-CN" w:bidi="ar"/>
        </w:rPr>
        <w:t>除上述清单内容外，市级土地储备机构、做地主体可根据实际情况，增加其他清单内容，并向行业主管部门征询意见。</w:t>
      </w:r>
      <w:r>
        <w:rPr>
          <w:rFonts w:hint="default" w:ascii="仿宋_GB2312" w:hAnsi="仿宋_GB2312" w:eastAsia="仿宋_GB2312" w:cs="仿宋_GB2312"/>
          <w:i w:val="0"/>
          <w:iCs w:val="0"/>
          <w:caps w:val="0"/>
          <w:color w:val="C00000"/>
          <w:spacing w:val="0"/>
          <w:w w:val="100"/>
          <w:kern w:val="2"/>
          <w:position w:val="0"/>
          <w:sz w:val="28"/>
          <w:szCs w:val="28"/>
          <w:highlight w:val="yellow"/>
          <w:shd w:val="clear" w:color="auto" w:fill="auto"/>
          <w:lang w:eastAsia="zh-CN" w:bidi="ar-SA"/>
        </w:rPr>
        <w:br w:type="page"/>
      </w:r>
      <w:r>
        <w:rPr>
          <w:rFonts w:ascii="黑体" w:hAnsi="黑体" w:eastAsia="黑体" w:cs="黑体"/>
          <w:b w:val="0"/>
          <w:bCs w:val="0"/>
          <w:spacing w:val="16"/>
          <w:sz w:val="32"/>
          <w:szCs w:val="32"/>
        </w:rPr>
        <w:t>附件2</w:t>
      </w:r>
    </w:p>
    <w:p>
      <w:pPr>
        <w:spacing w:before="127" w:line="219" w:lineRule="auto"/>
        <w:ind w:left="0" w:leftChars="0" w:hanging="5" w:firstLineChars="0"/>
        <w:jc w:val="center"/>
        <w:rPr>
          <w:rFonts w:hint="eastAsia" w:ascii="宋体" w:hAnsi="宋体" w:eastAsia="宋体" w:cs="宋体"/>
          <w:b/>
          <w:bCs/>
          <w:sz w:val="39"/>
          <w:szCs w:val="39"/>
          <w:lang w:val="en-US" w:eastAsia="zh-CN"/>
        </w:rPr>
      </w:pPr>
      <w:r>
        <w:rPr>
          <w:rFonts w:hint="eastAsia" w:ascii="宋体" w:hAnsi="宋体" w:cs="宋体"/>
          <w:b/>
          <w:bCs/>
          <w:sz w:val="39"/>
          <w:szCs w:val="39"/>
          <w:lang w:val="en-US" w:eastAsia="zh-CN"/>
        </w:rPr>
        <w:t>郑州市社会投资类工程建设项目</w:t>
      </w:r>
      <w:r>
        <w:rPr>
          <w:rFonts w:ascii="宋体" w:hAnsi="宋体" w:eastAsia="宋体" w:cs="宋体"/>
          <w:b/>
          <w:bCs/>
          <w:sz w:val="39"/>
          <w:szCs w:val="39"/>
        </w:rPr>
        <w:t>用地清单</w:t>
      </w:r>
      <w:r>
        <w:rPr>
          <w:rFonts w:hint="eastAsia" w:ascii="宋体" w:hAnsi="宋体" w:eastAsia="宋体" w:cs="宋体"/>
          <w:b/>
          <w:bCs/>
          <w:sz w:val="39"/>
          <w:szCs w:val="39"/>
          <w:lang w:val="en-US" w:eastAsia="zh-CN"/>
        </w:rPr>
        <w:t>制</w:t>
      </w:r>
    </w:p>
    <w:p>
      <w:pPr>
        <w:spacing w:before="127" w:line="219" w:lineRule="auto"/>
        <w:ind w:left="0" w:leftChars="0" w:hanging="5" w:firstLineChars="0"/>
        <w:jc w:val="center"/>
        <w:rPr>
          <w:rFonts w:ascii="宋体" w:hAnsi="宋体" w:eastAsia="宋体" w:cs="宋体"/>
          <w:b/>
          <w:bCs/>
          <w:spacing w:val="39"/>
          <w:sz w:val="39"/>
          <w:szCs w:val="39"/>
        </w:rPr>
      </w:pPr>
      <w:r>
        <w:rPr>
          <w:rFonts w:ascii="宋体" w:hAnsi="宋体" w:eastAsia="宋体" w:cs="宋体"/>
          <w:b/>
          <w:bCs/>
          <w:sz w:val="39"/>
          <w:szCs w:val="39"/>
        </w:rPr>
        <w:t>XXX</w:t>
      </w:r>
      <w:r>
        <w:rPr>
          <w:rFonts w:ascii="宋体" w:hAnsi="宋体" w:eastAsia="宋体" w:cs="宋体"/>
          <w:b/>
          <w:bCs/>
          <w:spacing w:val="39"/>
          <w:sz w:val="39"/>
          <w:szCs w:val="39"/>
        </w:rPr>
        <w:t>宗地管理意见一览表</w:t>
      </w:r>
    </w:p>
    <w:p>
      <w:pPr>
        <w:spacing w:before="107" w:line="219" w:lineRule="auto"/>
        <w:ind w:left="0" w:leftChars="0" w:hanging="7" w:firstLineChars="0"/>
        <w:jc w:val="left"/>
        <w:rPr>
          <w:rFonts w:hint="eastAsia" w:ascii="宋体" w:hAnsi="宋体" w:cs="宋体"/>
          <w:b w:val="0"/>
          <w:bCs w:val="0"/>
          <w:spacing w:val="0"/>
          <w:sz w:val="28"/>
          <w:szCs w:val="28"/>
          <w:lang w:val="en-US" w:eastAsia="zh-CN"/>
        </w:rPr>
      </w:pPr>
      <w:r>
        <w:rPr>
          <w:rFonts w:hint="eastAsia" w:ascii="宋体" w:hAnsi="宋体" w:cs="宋体"/>
          <w:b w:val="0"/>
          <w:bCs w:val="0"/>
          <w:spacing w:val="0"/>
          <w:sz w:val="28"/>
          <w:szCs w:val="28"/>
          <w:lang w:val="en-US" w:eastAsia="zh-CN"/>
        </w:rPr>
        <w:t>填写单位（章）                                     日期：</w:t>
      </w:r>
    </w:p>
    <w:tbl>
      <w:tblPr>
        <w:tblStyle w:val="7"/>
        <w:tblW w:w="9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628"/>
        <w:gridCol w:w="2447"/>
        <w:gridCol w:w="3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84" w:type="dxa"/>
            <w:noWrap w:val="0"/>
            <w:vAlign w:val="top"/>
          </w:tcPr>
          <w:p>
            <w:pPr>
              <w:spacing w:before="262" w:line="221" w:lineRule="auto"/>
              <w:ind w:left="248"/>
              <w:rPr>
                <w:rFonts w:ascii="宋体" w:hAnsi="宋体" w:eastAsia="宋体" w:cs="宋体"/>
                <w:sz w:val="24"/>
                <w:szCs w:val="24"/>
              </w:rPr>
            </w:pPr>
            <w:r>
              <w:rPr>
                <w:rFonts w:ascii="宋体" w:hAnsi="宋体" w:eastAsia="宋体" w:cs="宋体"/>
                <w:b/>
                <w:bCs/>
                <w:spacing w:val="-5"/>
                <w:sz w:val="24"/>
                <w:szCs w:val="24"/>
              </w:rPr>
              <w:t>序号</w:t>
            </w:r>
          </w:p>
        </w:tc>
        <w:tc>
          <w:tcPr>
            <w:tcW w:w="1628" w:type="dxa"/>
            <w:noWrap w:val="0"/>
            <w:vAlign w:val="top"/>
          </w:tcPr>
          <w:p>
            <w:pPr>
              <w:spacing w:before="121" w:line="323" w:lineRule="exact"/>
              <w:ind w:left="324"/>
              <w:rPr>
                <w:rFonts w:ascii="宋体" w:hAnsi="宋体" w:eastAsia="宋体" w:cs="宋体"/>
                <w:sz w:val="24"/>
                <w:szCs w:val="24"/>
              </w:rPr>
            </w:pPr>
            <w:r>
              <w:rPr>
                <w:rFonts w:ascii="宋体" w:hAnsi="宋体" w:eastAsia="宋体" w:cs="宋体"/>
                <w:b/>
                <w:bCs/>
                <w:spacing w:val="-6"/>
                <w:position w:val="5"/>
                <w:sz w:val="24"/>
                <w:szCs w:val="24"/>
              </w:rPr>
              <w:t>管理清单</w:t>
            </w:r>
          </w:p>
          <w:p>
            <w:pPr>
              <w:spacing w:line="221" w:lineRule="auto"/>
              <w:ind w:left="564"/>
              <w:rPr>
                <w:rFonts w:ascii="宋体" w:hAnsi="宋体" w:eastAsia="宋体" w:cs="宋体"/>
                <w:sz w:val="24"/>
                <w:szCs w:val="24"/>
              </w:rPr>
            </w:pPr>
            <w:r>
              <w:rPr>
                <w:rFonts w:ascii="宋体" w:hAnsi="宋体" w:eastAsia="宋体" w:cs="宋体"/>
                <w:b/>
                <w:bCs/>
                <w:spacing w:val="-6"/>
                <w:sz w:val="24"/>
                <w:szCs w:val="24"/>
              </w:rPr>
              <w:t>名称</w:t>
            </w:r>
          </w:p>
        </w:tc>
        <w:tc>
          <w:tcPr>
            <w:tcW w:w="2447" w:type="dxa"/>
            <w:noWrap w:val="0"/>
            <w:vAlign w:val="top"/>
          </w:tcPr>
          <w:p>
            <w:pPr>
              <w:spacing w:before="265" w:line="219" w:lineRule="auto"/>
              <w:ind w:left="732"/>
              <w:rPr>
                <w:rFonts w:ascii="宋体" w:hAnsi="宋体" w:eastAsia="宋体" w:cs="宋体"/>
                <w:sz w:val="24"/>
                <w:szCs w:val="24"/>
              </w:rPr>
            </w:pPr>
            <w:r>
              <w:rPr>
                <w:rFonts w:ascii="宋体" w:hAnsi="宋体" w:eastAsia="宋体" w:cs="宋体"/>
                <w:b/>
                <w:bCs/>
                <w:spacing w:val="-6"/>
                <w:position w:val="5"/>
                <w:sz w:val="24"/>
                <w:szCs w:val="24"/>
              </w:rPr>
              <w:t>管理部门</w:t>
            </w:r>
          </w:p>
        </w:tc>
        <w:tc>
          <w:tcPr>
            <w:tcW w:w="3990" w:type="dxa"/>
            <w:noWrap w:val="0"/>
            <w:vAlign w:val="top"/>
          </w:tcPr>
          <w:p>
            <w:pPr>
              <w:spacing w:before="261" w:line="219" w:lineRule="auto"/>
              <w:ind w:left="909"/>
              <w:rPr>
                <w:rFonts w:ascii="宋体" w:hAnsi="宋体" w:eastAsia="宋体" w:cs="宋体"/>
                <w:sz w:val="24"/>
                <w:szCs w:val="24"/>
              </w:rPr>
            </w:pPr>
            <w:r>
              <w:rPr>
                <w:rFonts w:ascii="宋体" w:hAnsi="宋体" w:eastAsia="宋体" w:cs="宋体"/>
                <w:b/>
                <w:bCs/>
                <w:spacing w:val="-5"/>
                <w:sz w:val="24"/>
                <w:szCs w:val="24"/>
              </w:rPr>
              <w:t>管理意见或管理要求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984" w:type="dxa"/>
            <w:noWrap w:val="0"/>
            <w:vAlign w:val="center"/>
          </w:tcPr>
          <w:p>
            <w:pPr>
              <w:spacing w:before="78" w:line="184" w:lineRule="auto"/>
              <w:ind w:left="424"/>
              <w:jc w:val="both"/>
              <w:rPr>
                <w:rFonts w:ascii="宋体" w:hAnsi="宋体" w:eastAsia="宋体" w:cs="宋体"/>
                <w:sz w:val="24"/>
                <w:szCs w:val="24"/>
              </w:rPr>
            </w:pPr>
            <w:r>
              <w:rPr>
                <w:rFonts w:ascii="宋体" w:hAnsi="宋体" w:eastAsia="宋体" w:cs="宋体"/>
                <w:sz w:val="24"/>
                <w:szCs w:val="24"/>
              </w:rPr>
              <w:t>1</w:t>
            </w:r>
          </w:p>
        </w:tc>
        <w:tc>
          <w:tcPr>
            <w:tcW w:w="1628" w:type="dxa"/>
            <w:tcBorders>
              <w:bottom w:val="single" w:color="auto" w:sz="4" w:space="0"/>
            </w:tcBorders>
            <w:noWrap w:val="0"/>
            <w:vAlign w:val="center"/>
          </w:tcPr>
          <w:p>
            <w:pPr>
              <w:spacing w:before="78" w:line="219" w:lineRule="auto"/>
              <w:jc w:val="center"/>
              <w:rPr>
                <w:rFonts w:hint="eastAsia" w:ascii="宋体" w:hAnsi="宋体" w:eastAsia="宋体" w:cs="宋体"/>
                <w:color w:val="auto"/>
                <w:spacing w:val="5"/>
                <w:sz w:val="24"/>
                <w:szCs w:val="24"/>
                <w:lang w:eastAsia="zh-CN"/>
              </w:rPr>
            </w:pPr>
            <w:r>
              <w:rPr>
                <w:rFonts w:ascii="宋体" w:hAnsi="宋体" w:eastAsia="宋体" w:cs="宋体"/>
                <w:color w:val="auto"/>
                <w:spacing w:val="5"/>
                <w:sz w:val="24"/>
                <w:szCs w:val="24"/>
              </w:rPr>
              <w:t>水土保持</w:t>
            </w:r>
            <w:r>
              <w:rPr>
                <w:rFonts w:hint="eastAsia" w:ascii="宋体" w:hAnsi="宋体" w:eastAsia="宋体" w:cs="宋体"/>
                <w:color w:val="auto"/>
                <w:spacing w:val="5"/>
                <w:sz w:val="24"/>
                <w:szCs w:val="24"/>
                <w:lang w:val="en-US" w:eastAsia="zh-CN"/>
              </w:rPr>
              <w:t xml:space="preserve"> </w:t>
            </w:r>
          </w:p>
        </w:tc>
        <w:tc>
          <w:tcPr>
            <w:tcW w:w="2447" w:type="dxa"/>
            <w:tcBorders>
              <w:bottom w:val="single" w:color="auto" w:sz="4" w:space="0"/>
            </w:tcBorders>
            <w:noWrap w:val="0"/>
            <w:vAlign w:val="center"/>
          </w:tcPr>
          <w:p>
            <w:pPr>
              <w:spacing w:before="78" w:line="219" w:lineRule="auto"/>
              <w:ind w:firstLine="750" w:firstLineChars="300"/>
              <w:jc w:val="both"/>
              <w:rPr>
                <w:rFonts w:ascii="宋体" w:hAnsi="宋体" w:eastAsia="宋体" w:cs="宋体"/>
                <w:color w:val="auto"/>
                <w:spacing w:val="5"/>
                <w:sz w:val="24"/>
                <w:szCs w:val="24"/>
              </w:rPr>
            </w:pPr>
            <w:r>
              <w:rPr>
                <w:rFonts w:ascii="宋体" w:hAnsi="宋体" w:eastAsia="宋体" w:cs="宋体"/>
                <w:color w:val="auto"/>
                <w:spacing w:val="5"/>
                <w:sz w:val="24"/>
                <w:szCs w:val="24"/>
              </w:rPr>
              <w:t>市水</w:t>
            </w:r>
            <w:r>
              <w:rPr>
                <w:rFonts w:hint="eastAsia" w:ascii="宋体" w:hAnsi="宋体" w:eastAsia="宋体" w:cs="宋体"/>
                <w:color w:val="auto"/>
                <w:spacing w:val="5"/>
                <w:sz w:val="24"/>
                <w:szCs w:val="24"/>
                <w:lang w:eastAsia="zh-CN"/>
              </w:rPr>
              <w:t>利</w:t>
            </w:r>
            <w:r>
              <w:rPr>
                <w:rFonts w:ascii="宋体" w:hAnsi="宋体" w:eastAsia="宋体" w:cs="宋体"/>
                <w:color w:val="auto"/>
                <w:spacing w:val="5"/>
                <w:sz w:val="24"/>
                <w:szCs w:val="24"/>
              </w:rPr>
              <w:t>局</w:t>
            </w:r>
          </w:p>
          <w:p>
            <w:pPr>
              <w:spacing w:before="78" w:line="219" w:lineRule="auto"/>
              <w:ind w:left="732"/>
              <w:jc w:val="both"/>
              <w:rPr>
                <w:rFonts w:ascii="宋体" w:hAnsi="宋体" w:eastAsia="宋体" w:cs="宋体"/>
                <w:color w:val="auto"/>
                <w:spacing w:val="5"/>
                <w:sz w:val="24"/>
                <w:szCs w:val="24"/>
              </w:rPr>
            </w:pPr>
          </w:p>
        </w:tc>
        <w:tc>
          <w:tcPr>
            <w:tcW w:w="3990" w:type="dxa"/>
            <w:noWrap w:val="0"/>
            <w:vAlign w:val="top"/>
          </w:tcPr>
          <w:p>
            <w:pPr>
              <w:rPr>
                <w:rFonts w:hint="default" w:ascii="Arial" w:eastAsiaTheme="minorEastAsia"/>
                <w:color w:val="auto"/>
                <w:sz w:val="21"/>
                <w:lang w:val="en-US" w:eastAsia="zh-CN"/>
              </w:rPr>
            </w:pPr>
            <w:r>
              <w:rPr>
                <w:rFonts w:hint="eastAsia" w:ascii="Arial"/>
                <w:color w:val="auto"/>
                <w:sz w:val="21"/>
                <w:lang w:val="en-US" w:eastAsia="zh-CN"/>
              </w:rPr>
              <w:t>1，依据《中华人民共和国水土保持法》第25和第26条：项目开工前，做地单位应当编制水土保持方案，报水行政主管部门审批并取得行政许可；2、依据《中华人民共和国水土保护法》第27条：项目投产或竣工验收前，做地单位应当完成水土保持设施组织验收，并取得水行政主管部门报备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984" w:type="dxa"/>
            <w:noWrap w:val="0"/>
            <w:vAlign w:val="center"/>
          </w:tcPr>
          <w:p>
            <w:pPr>
              <w:spacing w:before="78" w:line="183" w:lineRule="auto"/>
              <w:ind w:left="424"/>
              <w:jc w:val="both"/>
              <w:rPr>
                <w:rFonts w:ascii="宋体" w:hAnsi="宋体" w:eastAsia="宋体" w:cs="宋体"/>
                <w:sz w:val="24"/>
                <w:szCs w:val="24"/>
              </w:rPr>
            </w:pPr>
            <w:r>
              <w:rPr>
                <w:rFonts w:ascii="宋体" w:hAnsi="宋体" w:eastAsia="宋体" w:cs="宋体"/>
                <w:sz w:val="24"/>
                <w:szCs w:val="24"/>
              </w:rPr>
              <w:t>2</w:t>
            </w:r>
          </w:p>
        </w:tc>
        <w:tc>
          <w:tcPr>
            <w:tcW w:w="1628" w:type="dxa"/>
            <w:tcBorders>
              <w:top w:val="single" w:color="auto" w:sz="4" w:space="0"/>
              <w:bottom w:val="single" w:color="auto" w:sz="4" w:space="0"/>
            </w:tcBorders>
            <w:noWrap w:val="0"/>
            <w:vAlign w:val="center"/>
          </w:tcPr>
          <w:p>
            <w:pPr>
              <w:spacing w:before="78" w:line="220" w:lineRule="auto"/>
              <w:jc w:val="center"/>
              <w:rPr>
                <w:rFonts w:ascii="宋体" w:hAnsi="宋体" w:eastAsia="宋体" w:cs="宋体"/>
                <w:sz w:val="24"/>
                <w:szCs w:val="24"/>
              </w:rPr>
            </w:pPr>
          </w:p>
        </w:tc>
        <w:tc>
          <w:tcPr>
            <w:tcW w:w="2447" w:type="dxa"/>
            <w:tcBorders>
              <w:top w:val="single" w:color="auto" w:sz="4" w:space="0"/>
              <w:bottom w:val="single" w:color="auto" w:sz="4" w:space="0"/>
            </w:tcBorders>
            <w:noWrap w:val="0"/>
            <w:vAlign w:val="center"/>
          </w:tcPr>
          <w:p>
            <w:pPr>
              <w:jc w:val="center"/>
              <w:rPr>
                <w:rFonts w:ascii="Arial"/>
                <w:sz w:val="21"/>
              </w:rPr>
            </w:pPr>
          </w:p>
        </w:tc>
        <w:tc>
          <w:tcPr>
            <w:tcW w:w="3990"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984" w:type="dxa"/>
            <w:noWrap w:val="0"/>
            <w:vAlign w:val="center"/>
          </w:tcPr>
          <w:p>
            <w:pPr>
              <w:spacing w:before="78" w:line="183" w:lineRule="auto"/>
              <w:ind w:left="424"/>
              <w:jc w:val="both"/>
              <w:rPr>
                <w:rFonts w:ascii="宋体" w:hAnsi="宋体" w:eastAsia="宋体" w:cs="宋体"/>
                <w:sz w:val="24"/>
                <w:szCs w:val="24"/>
              </w:rPr>
            </w:pPr>
            <w:r>
              <w:rPr>
                <w:rFonts w:ascii="宋体" w:hAnsi="宋体" w:eastAsia="宋体" w:cs="宋体"/>
                <w:sz w:val="24"/>
                <w:szCs w:val="24"/>
              </w:rPr>
              <w:t>3</w:t>
            </w:r>
          </w:p>
        </w:tc>
        <w:tc>
          <w:tcPr>
            <w:tcW w:w="1628" w:type="dxa"/>
            <w:tcBorders>
              <w:top w:val="single" w:color="auto" w:sz="4" w:space="0"/>
            </w:tcBorders>
            <w:noWrap w:val="0"/>
            <w:vAlign w:val="center"/>
          </w:tcPr>
          <w:p>
            <w:pPr>
              <w:spacing w:before="78" w:line="219" w:lineRule="auto"/>
              <w:jc w:val="both"/>
              <w:rPr>
                <w:rFonts w:ascii="宋体" w:hAnsi="宋体" w:eastAsia="宋体" w:cs="宋体"/>
                <w:sz w:val="24"/>
                <w:szCs w:val="24"/>
              </w:rPr>
            </w:pPr>
          </w:p>
        </w:tc>
        <w:tc>
          <w:tcPr>
            <w:tcW w:w="2447" w:type="dxa"/>
            <w:tcBorders>
              <w:top w:val="single" w:color="auto" w:sz="4" w:space="0"/>
            </w:tcBorders>
            <w:noWrap w:val="0"/>
            <w:vAlign w:val="top"/>
          </w:tcPr>
          <w:p>
            <w:pPr>
              <w:rPr>
                <w:rFonts w:ascii="Arial"/>
                <w:sz w:val="21"/>
              </w:rPr>
            </w:pPr>
          </w:p>
        </w:tc>
        <w:tc>
          <w:tcPr>
            <w:tcW w:w="3990"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984" w:type="dxa"/>
            <w:noWrap w:val="0"/>
            <w:vAlign w:val="top"/>
          </w:tcPr>
          <w:p>
            <w:pPr>
              <w:rPr>
                <w:rFonts w:ascii="Arial"/>
                <w:sz w:val="21"/>
              </w:rPr>
            </w:pPr>
          </w:p>
        </w:tc>
        <w:tc>
          <w:tcPr>
            <w:tcW w:w="1628" w:type="dxa"/>
            <w:noWrap w:val="0"/>
            <w:vAlign w:val="top"/>
          </w:tcPr>
          <w:p>
            <w:pPr>
              <w:rPr>
                <w:rFonts w:ascii="Arial"/>
                <w:sz w:val="21"/>
              </w:rPr>
            </w:pPr>
          </w:p>
        </w:tc>
        <w:tc>
          <w:tcPr>
            <w:tcW w:w="2447" w:type="dxa"/>
            <w:noWrap w:val="0"/>
            <w:vAlign w:val="top"/>
          </w:tcPr>
          <w:p>
            <w:pPr>
              <w:rPr>
                <w:rFonts w:ascii="Arial"/>
                <w:sz w:val="21"/>
              </w:rPr>
            </w:pPr>
          </w:p>
        </w:tc>
        <w:tc>
          <w:tcPr>
            <w:tcW w:w="3990" w:type="dxa"/>
            <w:noWrap w:val="0"/>
            <w:vAlign w:val="top"/>
          </w:tcPr>
          <w:p>
            <w:pPr>
              <w:rPr>
                <w:rFonts w:ascii="Arial"/>
                <w:sz w:val="21"/>
              </w:rPr>
            </w:pPr>
          </w:p>
        </w:tc>
      </w:tr>
    </w:tbl>
    <w:p>
      <w:pPr>
        <w:spacing w:before="107" w:line="219" w:lineRule="auto"/>
        <w:ind w:left="0" w:leftChars="0" w:hanging="7" w:firstLineChars="0"/>
        <w:jc w:val="left"/>
        <w:rPr>
          <w:rFonts w:hint="default" w:ascii="宋体" w:hAnsi="宋体" w:cs="宋体"/>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cs="宋体"/>
          <w:b w:val="0"/>
          <w:bCs w:val="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关于支持产业混合用地高效复合利用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实施意见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24292F"/>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rPr>
      </w:pPr>
      <w:r>
        <w:rPr>
          <w:rFonts w:hint="eastAsia" w:ascii="仿宋_GB2312" w:hAnsi="仿宋_GB2312" w:eastAsia="仿宋_GB2312" w:cs="仿宋_GB2312"/>
          <w:i w:val="0"/>
          <w:iCs w:val="0"/>
          <w:caps w:val="0"/>
          <w:color w:val="24292F"/>
          <w:spacing w:val="0"/>
          <w:sz w:val="32"/>
          <w:szCs w:val="32"/>
          <w:lang w:val="en-US" w:eastAsia="zh-CN"/>
        </w:rPr>
        <w:t>为</w:t>
      </w:r>
      <w:r>
        <w:rPr>
          <w:rFonts w:hint="eastAsia" w:ascii="仿宋_GB2312" w:hAnsi="仿宋_GB2312" w:eastAsia="仿宋_GB2312" w:cs="仿宋_GB2312"/>
          <w:i w:val="0"/>
          <w:iCs w:val="0"/>
          <w:caps w:val="0"/>
          <w:color w:val="24292F"/>
          <w:spacing w:val="0"/>
          <w:sz w:val="32"/>
          <w:szCs w:val="32"/>
        </w:rPr>
        <w:t>适应我市产业结构调整和转型升级需求，贯彻新发展理念，创新发展思路，</w:t>
      </w:r>
      <w:r>
        <w:rPr>
          <w:rFonts w:hint="eastAsia" w:ascii="仿宋_GB2312" w:hAnsi="仿宋_GB2312" w:eastAsia="仿宋_GB2312" w:cs="仿宋_GB2312"/>
          <w:i w:val="0"/>
          <w:iCs w:val="0"/>
          <w:caps w:val="0"/>
          <w:color w:val="24292F"/>
          <w:spacing w:val="0"/>
          <w:sz w:val="32"/>
          <w:szCs w:val="32"/>
          <w:lang w:eastAsia="zh-CN"/>
        </w:rPr>
        <w:t>激发市场活力，支持产业高质量发展，</w:t>
      </w:r>
      <w:r>
        <w:rPr>
          <w:rFonts w:hint="eastAsia" w:ascii="仿宋_GB2312" w:hAnsi="仿宋_GB2312" w:eastAsia="仿宋_GB2312" w:cs="仿宋_GB2312"/>
          <w:i w:val="0"/>
          <w:iCs w:val="0"/>
          <w:caps w:val="0"/>
          <w:color w:val="24292F"/>
          <w:spacing w:val="0"/>
          <w:sz w:val="32"/>
          <w:szCs w:val="32"/>
          <w:lang w:val="en-US" w:eastAsia="zh-CN"/>
        </w:rPr>
        <w:t>依据国家、部委及省厅相关文件</w:t>
      </w:r>
      <w:r>
        <w:rPr>
          <w:rFonts w:hint="eastAsia" w:ascii="仿宋_GB2312" w:hAnsi="仿宋_GB2312" w:eastAsia="仿宋_GB2312" w:cs="仿宋_GB2312"/>
          <w:i w:val="0"/>
          <w:iCs w:val="0"/>
          <w:caps w:val="0"/>
          <w:color w:val="24292F"/>
          <w:spacing w:val="0"/>
          <w:sz w:val="32"/>
          <w:szCs w:val="32"/>
        </w:rPr>
        <w:t>，</w:t>
      </w:r>
      <w:r>
        <w:rPr>
          <w:rFonts w:hint="eastAsia" w:ascii="仿宋_GB2312" w:hAnsi="仿宋_GB2312" w:eastAsia="仿宋_GB2312" w:cs="仿宋_GB2312"/>
          <w:i w:val="0"/>
          <w:iCs w:val="0"/>
          <w:caps w:val="0"/>
          <w:color w:val="24292F"/>
          <w:spacing w:val="0"/>
          <w:sz w:val="32"/>
          <w:szCs w:val="32"/>
          <w:lang w:val="en-US" w:eastAsia="zh-CN"/>
        </w:rPr>
        <w:t>结合</w:t>
      </w:r>
      <w:r>
        <w:rPr>
          <w:rFonts w:hint="eastAsia" w:ascii="仿宋_GB2312" w:hAnsi="仿宋_GB2312" w:eastAsia="仿宋_GB2312" w:cs="仿宋_GB2312"/>
          <w:i w:val="0"/>
          <w:iCs w:val="0"/>
          <w:caps w:val="0"/>
          <w:color w:val="24292F"/>
          <w:spacing w:val="0"/>
          <w:sz w:val="32"/>
          <w:szCs w:val="32"/>
        </w:rPr>
        <w:t>外地经验，</w:t>
      </w:r>
      <w:r>
        <w:rPr>
          <w:rFonts w:hint="eastAsia" w:ascii="仿宋_GB2312" w:hAnsi="仿宋_GB2312" w:eastAsia="仿宋_GB2312" w:cs="仿宋_GB2312"/>
          <w:i w:val="0"/>
          <w:iCs w:val="0"/>
          <w:caps w:val="0"/>
          <w:color w:val="24292F"/>
          <w:spacing w:val="0"/>
          <w:sz w:val="32"/>
          <w:szCs w:val="32"/>
          <w:lang w:val="en-US" w:eastAsia="zh-CN"/>
        </w:rPr>
        <w:t>按照</w:t>
      </w:r>
      <w:r>
        <w:rPr>
          <w:rFonts w:hint="eastAsia" w:ascii="仿宋_GB2312" w:hAnsi="仿宋_GB2312" w:eastAsia="仿宋_GB2312" w:cs="仿宋_GB2312"/>
          <w:i w:val="0"/>
          <w:iCs w:val="0"/>
          <w:caps w:val="0"/>
          <w:color w:val="24292F"/>
          <w:spacing w:val="0"/>
          <w:sz w:val="32"/>
          <w:szCs w:val="32"/>
        </w:rPr>
        <w:t>我市实际</w:t>
      </w:r>
      <w:r>
        <w:rPr>
          <w:rFonts w:hint="eastAsia" w:ascii="仿宋_GB2312" w:hAnsi="仿宋_GB2312" w:eastAsia="仿宋_GB2312" w:cs="仿宋_GB2312"/>
          <w:i w:val="0"/>
          <w:iCs w:val="0"/>
          <w:caps w:val="0"/>
          <w:color w:val="24292F"/>
          <w:spacing w:val="0"/>
          <w:sz w:val="32"/>
          <w:szCs w:val="32"/>
          <w:lang w:val="en-US" w:eastAsia="zh-CN"/>
        </w:rPr>
        <w:t>情况</w:t>
      </w:r>
      <w:r>
        <w:rPr>
          <w:rFonts w:hint="eastAsia" w:ascii="仿宋_GB2312" w:hAnsi="仿宋_GB2312" w:eastAsia="仿宋_GB2312" w:cs="仿宋_GB2312"/>
          <w:i w:val="0"/>
          <w:iCs w:val="0"/>
          <w:caps w:val="0"/>
          <w:color w:val="24292F"/>
          <w:spacing w:val="0"/>
          <w:sz w:val="32"/>
          <w:szCs w:val="32"/>
        </w:rPr>
        <w:t>，制定本</w:t>
      </w:r>
      <w:r>
        <w:rPr>
          <w:rFonts w:hint="eastAsia" w:ascii="仿宋_GB2312" w:hAnsi="仿宋_GB2312" w:eastAsia="仿宋_GB2312" w:cs="仿宋_GB2312"/>
          <w:i w:val="0"/>
          <w:iCs w:val="0"/>
          <w:caps w:val="0"/>
          <w:color w:val="24292F"/>
          <w:spacing w:val="0"/>
          <w:sz w:val="32"/>
          <w:szCs w:val="32"/>
          <w:lang w:val="en-US" w:eastAsia="zh-CN"/>
        </w:rPr>
        <w:t>实施</w:t>
      </w:r>
      <w:r>
        <w:rPr>
          <w:rFonts w:hint="eastAsia" w:ascii="仿宋_GB2312" w:hAnsi="仿宋_GB2312" w:eastAsia="仿宋_GB2312" w:cs="仿宋_GB2312"/>
          <w:i w:val="0"/>
          <w:iCs w:val="0"/>
          <w:caps w:val="0"/>
          <w:color w:val="24292F"/>
          <w:spacing w:val="0"/>
          <w:sz w:val="32"/>
          <w:szCs w:val="32"/>
        </w:rPr>
        <w:t>意见。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lang w:val="en-US" w:eastAsia="zh-CN"/>
        </w:rPr>
      </w:pPr>
      <w:r>
        <w:rPr>
          <w:rFonts w:hint="eastAsia" w:ascii="楷体_GB2312" w:hAnsi="楷体_GB2312" w:eastAsia="楷体_GB2312" w:cs="楷体_GB2312"/>
          <w:b/>
          <w:bCs/>
          <w:i w:val="0"/>
          <w:iCs w:val="0"/>
          <w:caps w:val="0"/>
          <w:color w:val="24292F"/>
          <w:spacing w:val="0"/>
          <w:sz w:val="32"/>
          <w:szCs w:val="32"/>
          <w:lang w:eastAsia="zh-CN"/>
        </w:rPr>
        <w:t>（</w:t>
      </w:r>
      <w:r>
        <w:rPr>
          <w:rFonts w:hint="eastAsia" w:ascii="楷体_GB2312" w:hAnsi="楷体_GB2312" w:eastAsia="楷体_GB2312" w:cs="楷体_GB2312"/>
          <w:b/>
          <w:bCs/>
          <w:i w:val="0"/>
          <w:iCs w:val="0"/>
          <w:caps w:val="0"/>
          <w:color w:val="24292F"/>
          <w:spacing w:val="0"/>
          <w:sz w:val="32"/>
          <w:szCs w:val="32"/>
          <w:lang w:val="en-US" w:eastAsia="zh-CN"/>
        </w:rPr>
        <w:t>一</w:t>
      </w:r>
      <w:r>
        <w:rPr>
          <w:rFonts w:hint="eastAsia" w:ascii="楷体_GB2312" w:hAnsi="楷体_GB2312" w:eastAsia="楷体_GB2312" w:cs="楷体_GB2312"/>
          <w:b/>
          <w:bCs/>
          <w:i w:val="0"/>
          <w:iCs w:val="0"/>
          <w:caps w:val="0"/>
          <w:color w:val="24292F"/>
          <w:spacing w:val="0"/>
          <w:sz w:val="32"/>
          <w:szCs w:val="32"/>
          <w:lang w:eastAsia="zh-CN"/>
        </w:rPr>
        <w:t>）</w:t>
      </w:r>
      <w:r>
        <w:rPr>
          <w:rFonts w:hint="eastAsia" w:ascii="楷体_GB2312" w:hAnsi="楷体_GB2312" w:eastAsia="楷体_GB2312" w:cs="楷体_GB2312"/>
          <w:b/>
          <w:bCs/>
          <w:i w:val="0"/>
          <w:iCs w:val="0"/>
          <w:caps w:val="0"/>
          <w:color w:val="24292F"/>
          <w:spacing w:val="0"/>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lang w:eastAsia="zh-CN"/>
        </w:rPr>
      </w:pPr>
      <w:r>
        <w:rPr>
          <w:rFonts w:hint="eastAsia" w:ascii="仿宋_GB2312" w:hAnsi="仿宋_GB2312" w:eastAsia="仿宋_GB2312" w:cs="仿宋_GB2312"/>
          <w:i w:val="0"/>
          <w:iCs w:val="0"/>
          <w:caps w:val="0"/>
          <w:color w:val="24292F"/>
          <w:spacing w:val="0"/>
          <w:sz w:val="32"/>
          <w:szCs w:val="32"/>
          <w:lang w:eastAsia="zh-CN"/>
        </w:rPr>
        <w:t>以党的二十大精神“坚持深化改革开放”为指导，贯彻落实新发展理念，积极服务并深度融入新发展格局，创新发展改革思路，充分发挥市场在资源配置中的决定性作用，进一步激发市场活力，支持产业高质量发展，探索土地用途混合高效复合利用，为推动我市更高质量、更有效率、更加公平、更可持续的发展提供助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lang w:val="en-US" w:eastAsia="zh-CN"/>
        </w:rPr>
      </w:pPr>
      <w:r>
        <w:rPr>
          <w:rFonts w:hint="eastAsia" w:ascii="楷体_GB2312" w:hAnsi="楷体_GB2312" w:eastAsia="楷体_GB2312" w:cs="楷体_GB2312"/>
          <w:b/>
          <w:bCs/>
          <w:i w:val="0"/>
          <w:iCs w:val="0"/>
          <w:caps w:val="0"/>
          <w:color w:val="24292F"/>
          <w:spacing w:val="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lang w:eastAsia="zh-CN"/>
        </w:rPr>
      </w:pPr>
      <w:r>
        <w:rPr>
          <w:rFonts w:hint="eastAsia" w:ascii="仿宋_GB2312" w:hAnsi="仿宋_GB2312" w:eastAsia="仿宋_GB2312" w:cs="仿宋_GB2312"/>
          <w:i w:val="0"/>
          <w:iCs w:val="0"/>
          <w:caps w:val="0"/>
          <w:color w:val="24292F"/>
          <w:spacing w:val="0"/>
          <w:sz w:val="32"/>
          <w:szCs w:val="32"/>
          <w:lang w:val="en-US" w:eastAsia="zh-CN"/>
        </w:rPr>
        <w:t>1.</w:t>
      </w:r>
      <w:r>
        <w:rPr>
          <w:rFonts w:hint="eastAsia" w:ascii="仿宋_GB2312" w:hAnsi="仿宋_GB2312" w:eastAsia="仿宋_GB2312" w:cs="仿宋_GB2312"/>
          <w:i w:val="0"/>
          <w:iCs w:val="0"/>
          <w:caps w:val="0"/>
          <w:color w:val="24292F"/>
          <w:spacing w:val="0"/>
          <w:sz w:val="32"/>
          <w:szCs w:val="32"/>
          <w:lang w:eastAsia="zh-CN"/>
        </w:rPr>
        <w:t>坚持规划引导。综合考虑区域环境、产业发展、基础设施等因素，完善功能布局，优化用地结构，发挥规划引导作用。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lang w:eastAsia="zh-CN"/>
        </w:rPr>
      </w:pPr>
      <w:r>
        <w:rPr>
          <w:rFonts w:hint="eastAsia" w:ascii="仿宋_GB2312" w:hAnsi="仿宋_GB2312" w:eastAsia="仿宋_GB2312" w:cs="仿宋_GB2312"/>
          <w:i w:val="0"/>
          <w:iCs w:val="0"/>
          <w:caps w:val="0"/>
          <w:color w:val="24292F"/>
          <w:spacing w:val="0"/>
          <w:sz w:val="32"/>
          <w:szCs w:val="32"/>
          <w:lang w:val="en-US" w:eastAsia="zh-CN"/>
        </w:rPr>
        <w:t>2.</w:t>
      </w:r>
      <w:r>
        <w:rPr>
          <w:rFonts w:hint="eastAsia" w:ascii="仿宋_GB2312" w:hAnsi="仿宋_GB2312" w:eastAsia="仿宋_GB2312" w:cs="仿宋_GB2312"/>
          <w:i w:val="0"/>
          <w:iCs w:val="0"/>
          <w:caps w:val="0"/>
          <w:color w:val="24292F"/>
          <w:spacing w:val="0"/>
          <w:sz w:val="32"/>
          <w:szCs w:val="32"/>
          <w:lang w:eastAsia="zh-CN"/>
        </w:rPr>
        <w:t>鼓励复合利用。</w:t>
      </w:r>
      <w:r>
        <w:rPr>
          <w:rFonts w:hint="eastAsia" w:ascii="仿宋_GB2312" w:hAnsi="仿宋_GB2312" w:eastAsia="仿宋_GB2312" w:cs="仿宋_GB2312"/>
          <w:i w:val="0"/>
          <w:iCs w:val="0"/>
          <w:caps w:val="0"/>
          <w:color w:val="24292F"/>
          <w:spacing w:val="0"/>
          <w:sz w:val="32"/>
          <w:szCs w:val="32"/>
        </w:rPr>
        <w:t>在符合国土空间规划、用途管制要求的前提下，鼓励推进产业由单一的制造向制造与研发、设计、创意、办公、商业等融合发展，促进土地用途混合利用和建筑复合使用，助推产业转型升级发展</w:t>
      </w:r>
      <w:r>
        <w:rPr>
          <w:rFonts w:hint="eastAsia" w:ascii="仿宋_GB2312" w:hAnsi="仿宋_GB2312" w:eastAsia="仿宋_GB2312" w:cs="仿宋_GB2312"/>
          <w:i w:val="0"/>
          <w:iCs w:val="0"/>
          <w:caps w:val="0"/>
          <w:color w:val="24292F"/>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lang w:eastAsia="zh-CN"/>
        </w:rPr>
      </w:pPr>
      <w:r>
        <w:rPr>
          <w:rFonts w:hint="eastAsia" w:ascii="仿宋_GB2312" w:hAnsi="仿宋_GB2312" w:eastAsia="仿宋_GB2312" w:cs="仿宋_GB2312"/>
          <w:i w:val="0"/>
          <w:iCs w:val="0"/>
          <w:caps w:val="0"/>
          <w:color w:val="24292F"/>
          <w:spacing w:val="0"/>
          <w:sz w:val="32"/>
          <w:szCs w:val="32"/>
          <w:lang w:val="en-US" w:eastAsia="zh-CN"/>
        </w:rPr>
        <w:t>3.</w:t>
      </w:r>
      <w:r>
        <w:rPr>
          <w:rFonts w:hint="eastAsia" w:ascii="仿宋_GB2312" w:hAnsi="仿宋_GB2312" w:eastAsia="仿宋_GB2312" w:cs="仿宋_GB2312"/>
          <w:i w:val="0"/>
          <w:iCs w:val="0"/>
          <w:caps w:val="0"/>
          <w:color w:val="24292F"/>
          <w:spacing w:val="0"/>
          <w:sz w:val="32"/>
          <w:szCs w:val="32"/>
          <w:lang w:eastAsia="zh-CN"/>
        </w:rPr>
        <w:t>坚持优先配套服务。结合混合用地的布局，要加强区域基础设施、公共服务、开放空间、停车设施等配套建设。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lang w:eastAsia="zh-CN"/>
        </w:rPr>
      </w:pPr>
      <w:r>
        <w:rPr>
          <w:rFonts w:hint="eastAsia" w:ascii="仿宋_GB2312" w:hAnsi="仿宋_GB2312" w:eastAsia="仿宋_GB2312" w:cs="仿宋_GB2312"/>
          <w:i w:val="0"/>
          <w:iCs w:val="0"/>
          <w:caps w:val="0"/>
          <w:color w:val="24292F"/>
          <w:spacing w:val="0"/>
          <w:sz w:val="32"/>
          <w:szCs w:val="32"/>
          <w:lang w:val="en-US" w:eastAsia="zh-CN"/>
        </w:rPr>
        <w:t>4.</w:t>
      </w:r>
      <w:r>
        <w:rPr>
          <w:rFonts w:hint="eastAsia" w:ascii="仿宋_GB2312" w:hAnsi="仿宋_GB2312" w:eastAsia="仿宋_GB2312" w:cs="仿宋_GB2312"/>
          <w:i w:val="0"/>
          <w:iCs w:val="0"/>
          <w:caps w:val="0"/>
          <w:color w:val="24292F"/>
          <w:spacing w:val="0"/>
          <w:sz w:val="32"/>
          <w:szCs w:val="32"/>
          <w:lang w:eastAsia="zh-CN"/>
        </w:rPr>
        <w:t>坚持节约集约。科学合理确定混合产业用地的规模和开发强度，促进产城融合，提升城市活力，提高土地节约集约利用水平。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lang w:val="en-US" w:eastAsia="zh-CN"/>
        </w:rPr>
      </w:pPr>
      <w:r>
        <w:rPr>
          <w:rFonts w:hint="eastAsia" w:ascii="楷体_GB2312" w:hAnsi="楷体_GB2312" w:eastAsia="楷体_GB2312" w:cs="楷体_GB2312"/>
          <w:b/>
          <w:bCs/>
          <w:i w:val="0"/>
          <w:iCs w:val="0"/>
          <w:caps w:val="0"/>
          <w:color w:val="24292F"/>
          <w:spacing w:val="0"/>
          <w:sz w:val="32"/>
          <w:szCs w:val="32"/>
          <w:lang w:val="en-US" w:eastAsia="zh-CN"/>
        </w:rPr>
        <w:t>（三）适用对象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4292F"/>
          <w:spacing w:val="0"/>
          <w:kern w:val="0"/>
          <w:sz w:val="32"/>
          <w:szCs w:val="32"/>
          <w:highlight w:val="none"/>
          <w:lang w:val="en-US" w:eastAsia="zh-CN" w:bidi="ar"/>
        </w:rPr>
      </w:pPr>
      <w:r>
        <w:rPr>
          <w:rFonts w:hint="eastAsia" w:ascii="仿宋_GB2312" w:hAnsi="仿宋_GB2312" w:eastAsia="仿宋_GB2312" w:cs="仿宋_GB2312"/>
          <w:i w:val="0"/>
          <w:iCs w:val="0"/>
          <w:caps w:val="0"/>
          <w:color w:val="24292F"/>
          <w:spacing w:val="0"/>
          <w:kern w:val="0"/>
          <w:sz w:val="32"/>
          <w:szCs w:val="32"/>
          <w:highlight w:val="none"/>
          <w:lang w:val="en-US" w:eastAsia="zh-CN" w:bidi="ar"/>
        </w:rPr>
        <w:t>适用对象为产业混合用地（以下简称“混合用地”）。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rPr>
      </w:pPr>
      <w:r>
        <w:rPr>
          <w:rFonts w:hint="eastAsia" w:ascii="仿宋_GB2312" w:hAnsi="仿宋_GB2312" w:eastAsia="仿宋_GB2312" w:cs="仿宋_GB2312"/>
          <w:i w:val="0"/>
          <w:iCs w:val="0"/>
          <w:caps w:val="0"/>
          <w:color w:val="24292F"/>
          <w:spacing w:val="0"/>
          <w:sz w:val="32"/>
          <w:szCs w:val="32"/>
        </w:rPr>
        <w:t>混合用地</w:t>
      </w:r>
      <w:r>
        <w:rPr>
          <w:rFonts w:hint="eastAsia" w:ascii="仿宋_GB2312" w:hAnsi="仿宋_GB2312" w:eastAsia="仿宋_GB2312" w:cs="仿宋_GB2312"/>
          <w:i w:val="0"/>
          <w:iCs w:val="0"/>
          <w:caps w:val="0"/>
          <w:color w:val="24292F"/>
          <w:spacing w:val="0"/>
          <w:sz w:val="32"/>
          <w:szCs w:val="32"/>
          <w:lang w:eastAsia="zh-CN"/>
        </w:rPr>
        <w:t>：</w:t>
      </w:r>
      <w:r>
        <w:rPr>
          <w:rFonts w:hint="eastAsia" w:ascii="仿宋_GB2312" w:hAnsi="仿宋_GB2312" w:eastAsia="仿宋_GB2312" w:cs="仿宋_GB2312"/>
          <w:i w:val="0"/>
          <w:iCs w:val="0"/>
          <w:caps w:val="0"/>
          <w:color w:val="24292F"/>
          <w:spacing w:val="0"/>
          <w:sz w:val="32"/>
          <w:szCs w:val="32"/>
        </w:rPr>
        <w:t>是指由国土空间规划确定的单一宗地上具有两类或两类以上使用用途（</w:t>
      </w:r>
      <w:r>
        <w:rPr>
          <w:rFonts w:hint="eastAsia" w:ascii="仿宋_GB2312" w:hAnsi="仿宋_GB2312" w:eastAsia="仿宋_GB2312" w:cs="仿宋_GB2312"/>
          <w:i w:val="0"/>
          <w:iCs w:val="0"/>
          <w:caps w:val="0"/>
          <w:color w:val="24292F"/>
          <w:spacing w:val="0"/>
          <w:sz w:val="32"/>
          <w:szCs w:val="32"/>
          <w:lang w:val="en-US" w:eastAsia="zh-CN"/>
        </w:rPr>
        <w:t>其中：北京、广东省、江苏省等地不含商品住宅用地，部分地区可兼容保障性住房</w:t>
      </w:r>
      <w:r>
        <w:rPr>
          <w:rFonts w:hint="eastAsia" w:ascii="仿宋_GB2312" w:hAnsi="仿宋_GB2312" w:eastAsia="仿宋_GB2312" w:cs="仿宋_GB2312"/>
          <w:i w:val="0"/>
          <w:iCs w:val="0"/>
          <w:caps w:val="0"/>
          <w:color w:val="24292F"/>
          <w:spacing w:val="0"/>
          <w:sz w:val="32"/>
          <w:szCs w:val="32"/>
        </w:rPr>
        <w:t>）的复合性用地模式，主要包括土地混合利用和建筑复合使用等。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i w:val="0"/>
          <w:iCs w:val="0"/>
          <w:caps w:val="0"/>
          <w:color w:val="24292F"/>
          <w:spacing w:val="0"/>
          <w:kern w:val="0"/>
          <w:sz w:val="32"/>
          <w:szCs w:val="32"/>
          <w:highlight w:val="none"/>
          <w:lang w:val="en-US" w:eastAsia="zh-CN" w:bidi="ar"/>
        </w:rPr>
      </w:pPr>
      <w:r>
        <w:rPr>
          <w:rFonts w:hint="eastAsia" w:ascii="仿宋_GB2312" w:hAnsi="仿宋_GB2312" w:eastAsia="仿宋_GB2312" w:cs="仿宋_GB2312"/>
          <w:i w:val="0"/>
          <w:iCs w:val="0"/>
          <w:caps w:val="0"/>
          <w:color w:val="24292F"/>
          <w:spacing w:val="0"/>
          <w:kern w:val="0"/>
          <w:sz w:val="32"/>
          <w:szCs w:val="32"/>
          <w:highlight w:val="none"/>
          <w:lang w:val="en-US" w:eastAsia="zh-CN" w:bidi="ar"/>
        </w:rPr>
        <w:t>适用范围：建议先期开展试点工作，根据试点项目或试点区域实施情况，逐步推广至全市。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规划编制</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lang w:val="en-US" w:eastAsia="zh-CN"/>
        </w:rPr>
      </w:pPr>
      <w:r>
        <w:rPr>
          <w:rFonts w:hint="eastAsia" w:ascii="楷体_GB2312" w:hAnsi="楷体_GB2312" w:eastAsia="楷体_GB2312" w:cs="楷体_GB2312"/>
          <w:b/>
          <w:bCs/>
          <w:i w:val="0"/>
          <w:iCs w:val="0"/>
          <w:caps w:val="0"/>
          <w:color w:val="24292F"/>
          <w:spacing w:val="0"/>
          <w:sz w:val="32"/>
          <w:szCs w:val="32"/>
          <w:lang w:val="en-US" w:eastAsia="zh-CN"/>
        </w:rPr>
        <w:t>（一）复合要求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24292F"/>
          <w:spacing w:val="0"/>
          <w:kern w:val="0"/>
          <w:sz w:val="32"/>
          <w:szCs w:val="32"/>
          <w:highlight w:val="none"/>
          <w:lang w:val="en-US" w:eastAsia="zh-CN" w:bidi="ar"/>
        </w:rPr>
      </w:pPr>
      <w:r>
        <w:rPr>
          <w:rFonts w:hint="eastAsia" w:ascii="仿宋_GB2312" w:hAnsi="仿宋_GB2312" w:eastAsia="仿宋_GB2312" w:cs="仿宋_GB2312"/>
          <w:i w:val="0"/>
          <w:iCs w:val="0"/>
          <w:caps w:val="0"/>
          <w:color w:val="24292F"/>
          <w:spacing w:val="0"/>
          <w:kern w:val="0"/>
          <w:sz w:val="32"/>
          <w:szCs w:val="32"/>
          <w:highlight w:val="none"/>
          <w:lang w:val="en-US" w:eastAsia="zh-CN" w:bidi="ar"/>
        </w:rPr>
        <w:t>1.用途复合范围。结合项目实际情况和用地所在片区规划，在满足安全生产、环境保护和公益性设施用地等相关控制要求的前提下，明确地块允许混合利用的用途复合范围、主导功能及比例。用途复合范围限于在工业用地、零售商业、批发市场、商务金融、旅馆、娱乐、餐饮、其他商服用地、保障性住房用地、教育、医疗、养老、体育用地中组合选择，经市政府研究同意的其他用途组合可以参照试行。</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24292F"/>
          <w:spacing w:val="0"/>
          <w:sz w:val="32"/>
          <w:szCs w:val="32"/>
          <w:highlight w:val="none"/>
          <w:lang w:eastAsia="zh-CN"/>
        </w:rPr>
      </w:pPr>
      <w:r>
        <w:rPr>
          <w:rFonts w:hint="eastAsia" w:ascii="仿宋_GB2312" w:hAnsi="仿宋_GB2312" w:eastAsia="仿宋_GB2312" w:cs="仿宋_GB2312"/>
          <w:i w:val="0"/>
          <w:iCs w:val="0"/>
          <w:caps w:val="0"/>
          <w:color w:val="24292F"/>
          <w:spacing w:val="0"/>
          <w:kern w:val="0"/>
          <w:sz w:val="32"/>
          <w:szCs w:val="32"/>
          <w:highlight w:val="none"/>
          <w:lang w:val="en-US" w:eastAsia="zh-CN" w:bidi="ar"/>
        </w:rPr>
        <w:t>2.技术指标确定。明确宗地内各用地部分的指标（如建筑面积、容积率、绿地率、用地布局等）。原则上主要用途的建筑面积不低于地上总建筑面积的70%，配套用途的建</w:t>
      </w:r>
      <w:r>
        <w:rPr>
          <w:rFonts w:hint="eastAsia" w:ascii="仿宋_GB2312" w:hAnsi="仿宋_GB2312" w:eastAsia="仿宋_GB2312" w:cs="仿宋_GB2312"/>
          <w:i w:val="0"/>
          <w:iCs w:val="0"/>
          <w:caps w:val="0"/>
          <w:color w:val="24292F"/>
          <w:spacing w:val="0"/>
          <w:sz w:val="32"/>
          <w:szCs w:val="32"/>
          <w:highlight w:val="none"/>
          <w:lang w:val="en-US" w:eastAsia="zh-CN"/>
        </w:rPr>
        <w:t>筑面积不超过</w:t>
      </w:r>
      <w:r>
        <w:rPr>
          <w:rFonts w:hint="eastAsia" w:ascii="仿宋_GB2312" w:hAnsi="仿宋_GB2312" w:eastAsia="仿宋_GB2312" w:cs="仿宋_GB2312"/>
          <w:i w:val="0"/>
          <w:iCs w:val="0"/>
          <w:caps w:val="0"/>
          <w:color w:val="24292F"/>
          <w:spacing w:val="0"/>
          <w:sz w:val="32"/>
          <w:szCs w:val="32"/>
          <w:highlight w:val="none"/>
        </w:rPr>
        <w:t>地上总建筑面积的</w:t>
      </w:r>
      <w:r>
        <w:rPr>
          <w:rFonts w:hint="eastAsia" w:ascii="仿宋_GB2312" w:hAnsi="仿宋_GB2312" w:eastAsia="仿宋_GB2312" w:cs="仿宋_GB2312"/>
          <w:i w:val="0"/>
          <w:iCs w:val="0"/>
          <w:caps w:val="0"/>
          <w:color w:val="24292F"/>
          <w:spacing w:val="0"/>
          <w:sz w:val="32"/>
          <w:szCs w:val="32"/>
          <w:highlight w:val="none"/>
          <w:lang w:val="en-US" w:eastAsia="zh-CN"/>
        </w:rPr>
        <w:t>3</w:t>
      </w:r>
      <w:r>
        <w:rPr>
          <w:rFonts w:hint="eastAsia" w:ascii="仿宋_GB2312" w:hAnsi="仿宋_GB2312" w:eastAsia="仿宋_GB2312" w:cs="仿宋_GB2312"/>
          <w:i w:val="0"/>
          <w:iCs w:val="0"/>
          <w:caps w:val="0"/>
          <w:color w:val="24292F"/>
          <w:spacing w:val="0"/>
          <w:sz w:val="32"/>
          <w:szCs w:val="32"/>
          <w:highlight w:val="none"/>
        </w:rPr>
        <w:t>0%</w:t>
      </w:r>
      <w:r>
        <w:rPr>
          <w:rFonts w:hint="eastAsia" w:ascii="仿宋_GB2312" w:hAnsi="仿宋_GB2312" w:eastAsia="仿宋_GB2312" w:cs="仿宋_GB2312"/>
          <w:i w:val="0"/>
          <w:iCs w:val="0"/>
          <w:caps w:val="0"/>
          <w:color w:val="24292F"/>
          <w:spacing w:val="0"/>
          <w:sz w:val="32"/>
          <w:szCs w:val="32"/>
          <w:highlight w:val="none"/>
          <w:lang w:eastAsia="zh-CN"/>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24292F"/>
          <w:spacing w:val="0"/>
          <w:sz w:val="32"/>
          <w:szCs w:val="32"/>
        </w:rPr>
      </w:pPr>
      <w:r>
        <w:rPr>
          <w:rFonts w:hint="eastAsia" w:ascii="仿宋_GB2312" w:hAnsi="仿宋_GB2312" w:eastAsia="仿宋_GB2312" w:cs="仿宋_GB2312"/>
          <w:i w:val="0"/>
          <w:iCs w:val="0"/>
          <w:caps w:val="0"/>
          <w:color w:val="24292F"/>
          <w:spacing w:val="0"/>
          <w:kern w:val="0"/>
          <w:sz w:val="32"/>
          <w:szCs w:val="32"/>
          <w:highlight w:val="none"/>
          <w:lang w:val="en-US" w:eastAsia="zh-CN" w:bidi="ar"/>
        </w:rPr>
        <w:t>以工业为主导功能的产业混合用地，其中工业建筑面积占比不得低于50%；融合研发、创意、设计、中试、检测、无污染生产等其他产业用途和配套行政办公、生活服务设施辅助功能建筑面积占地上建筑总面积的比例可提高到30%（其中，配套行政办公、生活服务设施的比例不超过地上建筑总面积的15%），不得</w:t>
      </w:r>
      <w:r>
        <w:rPr>
          <w:rFonts w:hint="eastAsia" w:ascii="仿宋_GB2312" w:hAnsi="仿宋_GB2312" w:eastAsia="仿宋_GB2312" w:cs="仿宋_GB2312"/>
          <w:i w:val="0"/>
          <w:iCs w:val="0"/>
          <w:caps w:val="0"/>
          <w:color w:val="24292F"/>
          <w:spacing w:val="0"/>
          <w:sz w:val="32"/>
          <w:szCs w:val="32"/>
        </w:rPr>
        <w:t>单独分割转让、抵押，</w:t>
      </w:r>
      <w:r>
        <w:rPr>
          <w:rFonts w:hint="eastAsia" w:ascii="仿宋_GB2312" w:hAnsi="仿宋_GB2312" w:eastAsia="仿宋_GB2312" w:cs="仿宋_GB2312"/>
          <w:i w:val="0"/>
          <w:iCs w:val="0"/>
          <w:caps w:val="0"/>
          <w:color w:val="24292F"/>
          <w:spacing w:val="0"/>
          <w:sz w:val="32"/>
          <w:szCs w:val="32"/>
          <w:lang w:val="en-US" w:eastAsia="zh-CN"/>
        </w:rPr>
        <w:t>并在</w:t>
      </w:r>
      <w:r>
        <w:rPr>
          <w:rFonts w:hint="eastAsia" w:ascii="仿宋_GB2312" w:hAnsi="仿宋_GB2312" w:eastAsia="仿宋_GB2312" w:cs="仿宋_GB2312"/>
          <w:i w:val="0"/>
          <w:iCs w:val="0"/>
          <w:caps w:val="0"/>
          <w:color w:val="24292F"/>
          <w:spacing w:val="0"/>
          <w:sz w:val="32"/>
          <w:szCs w:val="32"/>
        </w:rPr>
        <w:t>土地</w:t>
      </w:r>
      <w:r>
        <w:rPr>
          <w:rFonts w:hint="eastAsia" w:ascii="仿宋_GB2312" w:hAnsi="仿宋_GB2312" w:eastAsia="仿宋_GB2312" w:cs="仿宋_GB2312"/>
          <w:i w:val="0"/>
          <w:iCs w:val="0"/>
          <w:caps w:val="0"/>
          <w:color w:val="24292F"/>
          <w:spacing w:val="0"/>
          <w:sz w:val="32"/>
          <w:szCs w:val="32"/>
          <w:lang w:val="en-US" w:eastAsia="zh-CN"/>
        </w:rPr>
        <w:t>出让</w:t>
      </w:r>
      <w:r>
        <w:rPr>
          <w:rFonts w:hint="eastAsia" w:ascii="仿宋_GB2312" w:hAnsi="仿宋_GB2312" w:eastAsia="仿宋_GB2312" w:cs="仿宋_GB2312"/>
          <w:i w:val="0"/>
          <w:iCs w:val="0"/>
          <w:caps w:val="0"/>
          <w:color w:val="24292F"/>
          <w:spacing w:val="0"/>
          <w:sz w:val="32"/>
          <w:szCs w:val="32"/>
        </w:rPr>
        <w:t>合同或补充</w:t>
      </w:r>
      <w:r>
        <w:rPr>
          <w:rFonts w:hint="eastAsia" w:ascii="仿宋_GB2312" w:hAnsi="仿宋_GB2312" w:eastAsia="仿宋_GB2312" w:cs="仿宋_GB2312"/>
          <w:i w:val="0"/>
          <w:iCs w:val="0"/>
          <w:caps w:val="0"/>
          <w:color w:val="24292F"/>
          <w:spacing w:val="0"/>
          <w:sz w:val="32"/>
          <w:szCs w:val="32"/>
          <w:lang w:val="en-US" w:eastAsia="zh-CN"/>
        </w:rPr>
        <w:t>合同</w:t>
      </w:r>
      <w:r>
        <w:rPr>
          <w:rFonts w:hint="eastAsia" w:ascii="仿宋_GB2312" w:hAnsi="仿宋_GB2312" w:eastAsia="仿宋_GB2312" w:cs="仿宋_GB2312"/>
          <w:i w:val="0"/>
          <w:iCs w:val="0"/>
          <w:caps w:val="0"/>
          <w:color w:val="24292F"/>
          <w:spacing w:val="0"/>
          <w:sz w:val="32"/>
          <w:szCs w:val="32"/>
        </w:rPr>
        <w:t>中作出明确规定，在不动产登记簿和不动产权证上予以注记。</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lang w:val="en-US" w:eastAsia="zh-CN"/>
        </w:rPr>
      </w:pPr>
      <w:r>
        <w:rPr>
          <w:rFonts w:hint="eastAsia" w:ascii="楷体_GB2312" w:hAnsi="楷体_GB2312" w:eastAsia="楷体_GB2312" w:cs="楷体_GB2312"/>
          <w:b/>
          <w:bCs/>
          <w:i w:val="0"/>
          <w:iCs w:val="0"/>
          <w:caps w:val="0"/>
          <w:color w:val="24292F"/>
          <w:spacing w:val="0"/>
          <w:sz w:val="32"/>
          <w:szCs w:val="32"/>
          <w:lang w:val="en-US" w:eastAsia="zh-CN"/>
        </w:rPr>
        <w:t>（二）用地安排与规划布局</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24292F"/>
          <w:spacing w:val="0"/>
          <w:sz w:val="32"/>
          <w:szCs w:val="32"/>
          <w:highlight w:val="none"/>
          <w:lang w:eastAsia="zh-CN"/>
        </w:rPr>
      </w:pPr>
      <w:r>
        <w:rPr>
          <w:rFonts w:hint="eastAsia" w:ascii="仿宋_GB2312" w:hAnsi="仿宋_GB2312" w:eastAsia="仿宋_GB2312" w:cs="仿宋_GB2312"/>
          <w:i w:val="0"/>
          <w:iCs w:val="0"/>
          <w:caps w:val="0"/>
          <w:color w:val="24292F"/>
          <w:spacing w:val="0"/>
          <w:sz w:val="32"/>
          <w:szCs w:val="32"/>
          <w:highlight w:val="none"/>
          <w:lang w:val="en-US" w:eastAsia="zh-CN"/>
        </w:rPr>
        <w:t>1.用地安排。混合用地</w:t>
      </w:r>
      <w:r>
        <w:rPr>
          <w:rFonts w:hint="eastAsia" w:ascii="仿宋_GB2312" w:hAnsi="仿宋_GB2312" w:eastAsia="仿宋_GB2312" w:cs="仿宋_GB2312"/>
          <w:i w:val="0"/>
          <w:iCs w:val="0"/>
          <w:caps w:val="0"/>
          <w:color w:val="24292F"/>
          <w:spacing w:val="0"/>
          <w:sz w:val="32"/>
          <w:szCs w:val="32"/>
          <w:highlight w:val="none"/>
        </w:rPr>
        <w:t>原则上在</w:t>
      </w:r>
      <w:r>
        <w:rPr>
          <w:rFonts w:hint="eastAsia" w:ascii="仿宋_GB2312" w:hAnsi="仿宋_GB2312" w:eastAsia="仿宋_GB2312" w:cs="仿宋_GB2312"/>
          <w:i w:val="0"/>
          <w:iCs w:val="0"/>
          <w:caps w:val="0"/>
          <w:color w:val="24292F"/>
          <w:spacing w:val="0"/>
          <w:sz w:val="32"/>
          <w:szCs w:val="32"/>
          <w:highlight w:val="none"/>
          <w:lang w:val="en-US" w:eastAsia="zh-CN"/>
        </w:rPr>
        <w:t>新增供应</w:t>
      </w:r>
      <w:r>
        <w:rPr>
          <w:rFonts w:hint="eastAsia" w:ascii="仿宋_GB2312" w:hAnsi="仿宋_GB2312" w:eastAsia="仿宋_GB2312" w:cs="仿宋_GB2312"/>
          <w:i w:val="0"/>
          <w:iCs w:val="0"/>
          <w:caps w:val="0"/>
          <w:color w:val="24292F"/>
          <w:spacing w:val="0"/>
          <w:sz w:val="32"/>
          <w:szCs w:val="32"/>
          <w:highlight w:val="none"/>
        </w:rPr>
        <w:t>中合理安排；属</w:t>
      </w:r>
      <w:r>
        <w:rPr>
          <w:rFonts w:hint="eastAsia" w:ascii="仿宋_GB2312" w:hAnsi="仿宋_GB2312" w:eastAsia="仿宋_GB2312" w:cs="仿宋_GB2312"/>
          <w:i w:val="0"/>
          <w:iCs w:val="0"/>
          <w:caps w:val="0"/>
          <w:color w:val="24292F"/>
          <w:spacing w:val="0"/>
          <w:sz w:val="32"/>
          <w:szCs w:val="32"/>
          <w:highlight w:val="none"/>
          <w:lang w:val="en-US" w:eastAsia="zh-CN"/>
        </w:rPr>
        <w:t>城市</w:t>
      </w:r>
      <w:r>
        <w:rPr>
          <w:rFonts w:hint="eastAsia" w:ascii="仿宋_GB2312" w:hAnsi="仿宋_GB2312" w:eastAsia="仿宋_GB2312" w:cs="仿宋_GB2312"/>
          <w:i w:val="0"/>
          <w:iCs w:val="0"/>
          <w:caps w:val="0"/>
          <w:color w:val="24292F"/>
          <w:spacing w:val="0"/>
          <w:sz w:val="32"/>
          <w:szCs w:val="32"/>
          <w:highlight w:val="none"/>
        </w:rPr>
        <w:t>更新改造</w:t>
      </w:r>
      <w:r>
        <w:rPr>
          <w:rFonts w:hint="eastAsia" w:ascii="仿宋_GB2312" w:hAnsi="仿宋_GB2312" w:eastAsia="仿宋_GB2312" w:cs="仿宋_GB2312"/>
          <w:i w:val="0"/>
          <w:iCs w:val="0"/>
          <w:caps w:val="0"/>
          <w:color w:val="24292F"/>
          <w:spacing w:val="0"/>
          <w:sz w:val="32"/>
          <w:szCs w:val="32"/>
          <w:highlight w:val="none"/>
          <w:lang w:val="en-US" w:eastAsia="zh-CN"/>
        </w:rPr>
        <w:t>范围</w:t>
      </w:r>
      <w:r>
        <w:rPr>
          <w:rFonts w:hint="eastAsia" w:ascii="仿宋_GB2312" w:hAnsi="仿宋_GB2312" w:eastAsia="仿宋_GB2312" w:cs="仿宋_GB2312"/>
          <w:i w:val="0"/>
          <w:iCs w:val="0"/>
          <w:caps w:val="0"/>
          <w:color w:val="24292F"/>
          <w:spacing w:val="0"/>
          <w:sz w:val="32"/>
          <w:szCs w:val="32"/>
          <w:highlight w:val="none"/>
        </w:rPr>
        <w:t>的</w:t>
      </w:r>
      <w:r>
        <w:rPr>
          <w:rFonts w:hint="eastAsia" w:ascii="仿宋_GB2312" w:hAnsi="仿宋_GB2312" w:eastAsia="仿宋_GB2312" w:cs="仿宋_GB2312"/>
          <w:i w:val="0"/>
          <w:iCs w:val="0"/>
          <w:caps w:val="0"/>
          <w:color w:val="24292F"/>
          <w:spacing w:val="0"/>
          <w:sz w:val="32"/>
          <w:szCs w:val="32"/>
          <w:highlight w:val="none"/>
          <w:lang w:val="en-US" w:eastAsia="zh-CN"/>
        </w:rPr>
        <w:t>存量工业用地</w:t>
      </w:r>
      <w:r>
        <w:rPr>
          <w:rFonts w:hint="eastAsia" w:ascii="仿宋_GB2312" w:hAnsi="仿宋_GB2312" w:eastAsia="仿宋_GB2312" w:cs="仿宋_GB2312"/>
          <w:i w:val="0"/>
          <w:iCs w:val="0"/>
          <w:caps w:val="0"/>
          <w:color w:val="24292F"/>
          <w:spacing w:val="0"/>
          <w:sz w:val="32"/>
          <w:szCs w:val="32"/>
          <w:highlight w:val="none"/>
        </w:rPr>
        <w:t>，在符合国土空间规划前提下，依法依规推动存量工业用地</w:t>
      </w:r>
      <w:r>
        <w:rPr>
          <w:rFonts w:hint="eastAsia" w:ascii="仿宋_GB2312" w:hAnsi="仿宋_GB2312" w:eastAsia="仿宋_GB2312" w:cs="仿宋_GB2312"/>
          <w:i w:val="0"/>
          <w:iCs w:val="0"/>
          <w:caps w:val="0"/>
          <w:color w:val="24292F"/>
          <w:spacing w:val="0"/>
          <w:sz w:val="32"/>
          <w:szCs w:val="32"/>
          <w:highlight w:val="none"/>
          <w:lang w:val="en-US" w:eastAsia="zh-CN"/>
        </w:rPr>
        <w:t>更新盘活</w:t>
      </w:r>
      <w:r>
        <w:rPr>
          <w:rFonts w:hint="eastAsia" w:ascii="仿宋_GB2312" w:hAnsi="仿宋_GB2312" w:eastAsia="仿宋_GB2312" w:cs="仿宋_GB2312"/>
          <w:i w:val="0"/>
          <w:iCs w:val="0"/>
          <w:caps w:val="0"/>
          <w:color w:val="24292F"/>
          <w:spacing w:val="0"/>
          <w:sz w:val="32"/>
          <w:szCs w:val="32"/>
          <w:highlight w:val="none"/>
        </w:rPr>
        <w:t>。原土地使用权人可通过自主、入股、转让等方式开展改造，但法律、法规、行政规定等明确规定及划拨决定书、有偿使用合同等规定或约定应当由政府依法收回土地使用权收储的除外；原土地使用权人无法自主实施改造的，可申请由政府收储并取得合理补偿。</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24292F"/>
          <w:spacing w:val="0"/>
          <w:sz w:val="32"/>
          <w:szCs w:val="32"/>
          <w:highlight w:val="none"/>
        </w:rPr>
      </w:pPr>
      <w:r>
        <w:rPr>
          <w:rFonts w:hint="eastAsia" w:ascii="仿宋_GB2312" w:hAnsi="仿宋_GB2312" w:eastAsia="仿宋_GB2312" w:cs="仿宋_GB2312"/>
          <w:i w:val="0"/>
          <w:iCs w:val="0"/>
          <w:caps w:val="0"/>
          <w:color w:val="24292F"/>
          <w:spacing w:val="0"/>
          <w:sz w:val="32"/>
          <w:szCs w:val="32"/>
          <w:highlight w:val="none"/>
          <w:lang w:val="en-US" w:eastAsia="zh-CN"/>
        </w:rPr>
        <w:t>2.</w:t>
      </w:r>
      <w:r>
        <w:rPr>
          <w:rFonts w:hint="eastAsia" w:ascii="仿宋_GB2312" w:hAnsi="仿宋_GB2312" w:eastAsia="仿宋_GB2312" w:cs="仿宋_GB2312"/>
          <w:b w:val="0"/>
          <w:bCs w:val="0"/>
          <w:i w:val="0"/>
          <w:iCs w:val="0"/>
          <w:caps w:val="0"/>
          <w:color w:val="24292F"/>
          <w:spacing w:val="0"/>
          <w:sz w:val="32"/>
          <w:szCs w:val="32"/>
          <w:lang w:val="en-US" w:eastAsia="zh-CN"/>
        </w:rPr>
        <w:t>规划布局。</w:t>
      </w:r>
      <w:r>
        <w:rPr>
          <w:rFonts w:hint="eastAsia" w:ascii="仿宋_GB2312" w:hAnsi="仿宋_GB2312" w:eastAsia="仿宋_GB2312" w:cs="仿宋_GB2312"/>
          <w:i w:val="0"/>
          <w:iCs w:val="0"/>
          <w:caps w:val="0"/>
          <w:color w:val="24292F"/>
          <w:spacing w:val="0"/>
          <w:sz w:val="32"/>
          <w:szCs w:val="32"/>
          <w:highlight w:val="none"/>
        </w:rPr>
        <w:t>同一</w:t>
      </w:r>
      <w:r>
        <w:rPr>
          <w:rFonts w:hint="eastAsia" w:ascii="仿宋_GB2312" w:hAnsi="仿宋_GB2312" w:eastAsia="仿宋_GB2312" w:cs="仿宋_GB2312"/>
          <w:i w:val="0"/>
          <w:iCs w:val="0"/>
          <w:caps w:val="0"/>
          <w:color w:val="24292F"/>
          <w:spacing w:val="0"/>
          <w:sz w:val="32"/>
          <w:szCs w:val="32"/>
          <w:highlight w:val="none"/>
          <w:lang w:val="en-US" w:eastAsia="zh-CN"/>
        </w:rPr>
        <w:t>产业项目</w:t>
      </w:r>
      <w:r>
        <w:rPr>
          <w:rFonts w:hint="eastAsia" w:ascii="仿宋_GB2312" w:hAnsi="仿宋_GB2312" w:eastAsia="仿宋_GB2312" w:cs="仿宋_GB2312"/>
          <w:i w:val="0"/>
          <w:iCs w:val="0"/>
          <w:caps w:val="0"/>
          <w:color w:val="24292F"/>
          <w:spacing w:val="0"/>
          <w:sz w:val="32"/>
          <w:szCs w:val="32"/>
          <w:highlight w:val="none"/>
        </w:rPr>
        <w:t>相邻多宗国有工业用地可统一规划布局</w:t>
      </w:r>
      <w:r>
        <w:rPr>
          <w:rFonts w:hint="eastAsia" w:ascii="仿宋_GB2312" w:hAnsi="仿宋_GB2312" w:eastAsia="仿宋_GB2312" w:cs="仿宋_GB2312"/>
          <w:i w:val="0"/>
          <w:iCs w:val="0"/>
          <w:caps w:val="0"/>
          <w:color w:val="24292F"/>
          <w:spacing w:val="0"/>
          <w:sz w:val="32"/>
          <w:szCs w:val="32"/>
          <w:highlight w:val="none"/>
          <w:lang w:eastAsia="zh-CN"/>
        </w:rPr>
        <w:t>，</w:t>
      </w:r>
      <w:r>
        <w:rPr>
          <w:rFonts w:hint="eastAsia" w:ascii="仿宋_GB2312" w:hAnsi="仿宋_GB2312" w:eastAsia="仿宋_GB2312" w:cs="仿宋_GB2312"/>
          <w:i w:val="0"/>
          <w:iCs w:val="0"/>
          <w:caps w:val="0"/>
          <w:color w:val="24292F"/>
          <w:spacing w:val="0"/>
          <w:sz w:val="32"/>
          <w:szCs w:val="32"/>
          <w:highlight w:val="none"/>
        </w:rPr>
        <w:t>适度集中建设生产服务、行政办公、生活服务设施，生产服务、行政办公、生活服务设施用地面积和建筑面积分别占总用地面积、总建筑面积的比例可不减少，但不得单独分割转让、抵押。</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highlight w:val="none"/>
          <w:lang w:val="en-US" w:eastAsia="zh-CN"/>
        </w:rPr>
      </w:pPr>
      <w:r>
        <w:rPr>
          <w:rFonts w:hint="eastAsia" w:ascii="楷体_GB2312" w:hAnsi="楷体_GB2312" w:eastAsia="楷体_GB2312" w:cs="楷体_GB2312"/>
          <w:b/>
          <w:bCs/>
          <w:i w:val="0"/>
          <w:iCs w:val="0"/>
          <w:caps w:val="0"/>
          <w:color w:val="24292F"/>
          <w:spacing w:val="0"/>
          <w:sz w:val="32"/>
          <w:szCs w:val="32"/>
          <w:highlight w:val="none"/>
          <w:lang w:val="en-US" w:eastAsia="zh-CN"/>
        </w:rPr>
        <w:t>（三）规划设计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24292F"/>
          <w:spacing w:val="0"/>
          <w:sz w:val="32"/>
          <w:szCs w:val="32"/>
          <w:lang w:val="en-US" w:eastAsia="zh-CN"/>
        </w:rPr>
      </w:pPr>
      <w:r>
        <w:rPr>
          <w:rFonts w:hint="eastAsia" w:ascii="仿宋_GB2312" w:hAnsi="仿宋_GB2312" w:eastAsia="仿宋_GB2312" w:cs="仿宋_GB2312"/>
          <w:b w:val="0"/>
          <w:bCs w:val="0"/>
          <w:i w:val="0"/>
          <w:iCs w:val="0"/>
          <w:caps w:val="0"/>
          <w:color w:val="24292F"/>
          <w:spacing w:val="0"/>
          <w:sz w:val="32"/>
          <w:szCs w:val="32"/>
          <w:lang w:val="en-US" w:eastAsia="zh-CN"/>
        </w:rPr>
        <w:t>1.控制性详规编制。</w:t>
      </w:r>
      <w:r>
        <w:rPr>
          <w:rFonts w:hint="eastAsia" w:ascii="仿宋_GB2312" w:hAnsi="仿宋_GB2312" w:eastAsia="仿宋_GB2312" w:cs="仿宋_GB2312"/>
          <w:i w:val="0"/>
          <w:iCs w:val="0"/>
          <w:caps w:val="0"/>
          <w:color w:val="24292F"/>
          <w:spacing w:val="0"/>
          <w:sz w:val="32"/>
          <w:szCs w:val="32"/>
          <w:lang w:val="en-US" w:eastAsia="zh-CN"/>
        </w:rPr>
        <w:t>混合用地</w:t>
      </w:r>
      <w:r>
        <w:rPr>
          <w:rFonts w:hint="eastAsia" w:ascii="仿宋_GB2312" w:hAnsi="仿宋_GB2312" w:eastAsia="仿宋_GB2312" w:cs="仿宋_GB2312"/>
          <w:i w:val="0"/>
          <w:iCs w:val="0"/>
          <w:caps w:val="0"/>
          <w:color w:val="24292F"/>
          <w:spacing w:val="0"/>
          <w:sz w:val="32"/>
          <w:szCs w:val="32"/>
        </w:rPr>
        <w:t>控制性详细规划</w:t>
      </w:r>
      <w:r>
        <w:rPr>
          <w:rFonts w:hint="eastAsia" w:ascii="仿宋_GB2312" w:hAnsi="仿宋_GB2312" w:eastAsia="仿宋_GB2312" w:cs="仿宋_GB2312"/>
          <w:i w:val="0"/>
          <w:iCs w:val="0"/>
          <w:caps w:val="0"/>
          <w:color w:val="24292F"/>
          <w:spacing w:val="0"/>
          <w:sz w:val="32"/>
          <w:szCs w:val="32"/>
          <w:lang w:eastAsia="zh-CN"/>
        </w:rPr>
        <w:t>的</w:t>
      </w:r>
      <w:r>
        <w:rPr>
          <w:rFonts w:hint="eastAsia" w:ascii="仿宋_GB2312" w:hAnsi="仿宋_GB2312" w:eastAsia="仿宋_GB2312" w:cs="仿宋_GB2312"/>
          <w:i w:val="0"/>
          <w:iCs w:val="0"/>
          <w:caps w:val="0"/>
          <w:color w:val="24292F"/>
          <w:spacing w:val="0"/>
          <w:sz w:val="32"/>
          <w:szCs w:val="32"/>
          <w:lang w:val="en-US" w:eastAsia="zh-CN"/>
        </w:rPr>
        <w:t>编制</w:t>
      </w:r>
      <w:r>
        <w:rPr>
          <w:rFonts w:hint="eastAsia" w:ascii="仿宋_GB2312" w:hAnsi="仿宋_GB2312" w:eastAsia="仿宋_GB2312" w:cs="仿宋_GB2312"/>
          <w:i w:val="0"/>
          <w:iCs w:val="0"/>
          <w:caps w:val="0"/>
          <w:color w:val="24292F"/>
          <w:spacing w:val="0"/>
          <w:sz w:val="32"/>
          <w:szCs w:val="32"/>
        </w:rPr>
        <w:t>，</w:t>
      </w:r>
      <w:r>
        <w:rPr>
          <w:rFonts w:hint="eastAsia" w:ascii="仿宋_GB2312" w:hAnsi="仿宋_GB2312" w:eastAsia="仿宋_GB2312" w:cs="仿宋_GB2312"/>
          <w:i w:val="0"/>
          <w:iCs w:val="0"/>
          <w:caps w:val="0"/>
          <w:color w:val="24292F"/>
          <w:spacing w:val="0"/>
          <w:sz w:val="32"/>
          <w:szCs w:val="32"/>
          <w:lang w:val="en-US" w:eastAsia="zh-CN"/>
        </w:rPr>
        <w:t>应</w:t>
      </w:r>
      <w:r>
        <w:rPr>
          <w:rFonts w:hint="eastAsia" w:ascii="仿宋_GB2312" w:hAnsi="仿宋_GB2312" w:eastAsia="仿宋_GB2312" w:cs="仿宋_GB2312"/>
          <w:i w:val="0"/>
          <w:iCs w:val="0"/>
          <w:caps w:val="0"/>
          <w:color w:val="24292F"/>
          <w:spacing w:val="0"/>
          <w:sz w:val="32"/>
          <w:szCs w:val="32"/>
        </w:rPr>
        <w:t>综合考虑复合利用、合理布局、产业融</w:t>
      </w:r>
      <w:r>
        <w:rPr>
          <w:rFonts w:hint="eastAsia" w:ascii="仿宋_GB2312" w:hAnsi="仿宋_GB2312" w:eastAsia="仿宋_GB2312" w:cs="仿宋_GB2312"/>
          <w:i w:val="0"/>
          <w:iCs w:val="0"/>
          <w:caps w:val="0"/>
          <w:color w:val="24292F"/>
          <w:spacing w:val="0"/>
          <w:sz w:val="32"/>
          <w:szCs w:val="32"/>
          <w:lang w:val="en-US" w:eastAsia="zh-CN"/>
        </w:rPr>
        <w:t>合、建筑兼容和交通环境等因素，提出混合用地功能要求,并明确宗地内（含各用地部分）如下内容：主导用途和附属（或次要？）用途(用地分类细化至二级类);各用途计容建筑面积;用地相关配套设施的配置要求和市政设施的设置要求;用地消防、安全、环保公共卫生防护等要求;用地与周边道路交通网络的衔接要求；城市设计相关要求等。</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textAlignment w:val="auto"/>
        <w:rPr>
          <w:rFonts w:hint="eastAsia" w:ascii="仿宋_GB2312" w:hAnsi="仿宋_GB2312" w:eastAsia="仿宋_GB2312" w:cs="仿宋_GB2312"/>
          <w:i w:val="0"/>
          <w:iCs w:val="0"/>
          <w:caps w:val="0"/>
          <w:color w:val="24292F"/>
          <w:spacing w:val="0"/>
          <w:sz w:val="32"/>
          <w:szCs w:val="32"/>
        </w:rPr>
      </w:pPr>
      <w:r>
        <w:rPr>
          <w:rFonts w:hint="eastAsia" w:ascii="仿宋_GB2312" w:hAnsi="仿宋_GB2312" w:eastAsia="仿宋_GB2312" w:cs="仿宋_GB2312"/>
          <w:i w:val="0"/>
          <w:iCs w:val="0"/>
          <w:caps w:val="0"/>
          <w:color w:val="24292F"/>
          <w:spacing w:val="0"/>
          <w:sz w:val="32"/>
          <w:szCs w:val="32"/>
          <w:lang w:val="en-US" w:eastAsia="zh-CN"/>
        </w:rPr>
        <w:t>2.主导用途的确定。</w:t>
      </w:r>
      <w:r>
        <w:rPr>
          <w:rFonts w:hint="eastAsia" w:ascii="仿宋_GB2312" w:hAnsi="仿宋_GB2312" w:eastAsia="仿宋_GB2312" w:cs="仿宋_GB2312"/>
          <w:i w:val="0"/>
          <w:iCs w:val="0"/>
          <w:caps w:val="0"/>
          <w:color w:val="24292F"/>
          <w:spacing w:val="0"/>
          <w:sz w:val="32"/>
          <w:szCs w:val="32"/>
          <w:highlight w:val="none"/>
        </w:rPr>
        <w:t>主导用途</w:t>
      </w:r>
      <w:r>
        <w:rPr>
          <w:rFonts w:hint="eastAsia" w:ascii="仿宋_GB2312" w:hAnsi="仿宋_GB2312" w:eastAsia="仿宋_GB2312" w:cs="仿宋_GB2312"/>
          <w:i w:val="0"/>
          <w:iCs w:val="0"/>
          <w:caps w:val="0"/>
          <w:color w:val="24292F"/>
          <w:spacing w:val="0"/>
          <w:sz w:val="32"/>
          <w:szCs w:val="32"/>
          <w:highlight w:val="none"/>
          <w:lang w:val="en-US" w:eastAsia="zh-CN"/>
        </w:rPr>
        <w:t>一般依据</w:t>
      </w:r>
      <w:r>
        <w:rPr>
          <w:rFonts w:hint="eastAsia" w:ascii="仿宋_GB2312" w:hAnsi="仿宋_GB2312" w:eastAsia="仿宋_GB2312" w:cs="仿宋_GB2312"/>
          <w:i w:val="0"/>
          <w:iCs w:val="0"/>
          <w:caps w:val="0"/>
          <w:color w:val="24292F"/>
          <w:spacing w:val="0"/>
          <w:sz w:val="32"/>
          <w:szCs w:val="32"/>
          <w:highlight w:val="none"/>
        </w:rPr>
        <w:t>计容建筑面积</w:t>
      </w:r>
      <w:r>
        <w:rPr>
          <w:rFonts w:hint="eastAsia" w:ascii="仿宋_GB2312" w:hAnsi="仿宋_GB2312" w:eastAsia="仿宋_GB2312" w:cs="仿宋_GB2312"/>
          <w:i w:val="0"/>
          <w:iCs w:val="0"/>
          <w:caps w:val="0"/>
          <w:color w:val="24292F"/>
          <w:spacing w:val="0"/>
          <w:sz w:val="32"/>
          <w:szCs w:val="32"/>
          <w:highlight w:val="none"/>
          <w:lang w:val="en-US" w:eastAsia="zh-CN"/>
        </w:rPr>
        <w:t>确定</w:t>
      </w:r>
      <w:r>
        <w:rPr>
          <w:rFonts w:hint="eastAsia" w:ascii="仿宋_GB2312" w:hAnsi="仿宋_GB2312" w:eastAsia="仿宋_GB2312" w:cs="仿宋_GB2312"/>
          <w:i w:val="0"/>
          <w:iCs w:val="0"/>
          <w:caps w:val="0"/>
          <w:color w:val="24292F"/>
          <w:spacing w:val="0"/>
          <w:sz w:val="32"/>
          <w:szCs w:val="32"/>
          <w:highlight w:val="none"/>
        </w:rPr>
        <w:t>，也可依据计</w:t>
      </w:r>
      <w:r>
        <w:rPr>
          <w:rFonts w:hint="eastAsia" w:ascii="仿宋_GB2312" w:hAnsi="仿宋_GB2312" w:eastAsia="仿宋_GB2312" w:cs="仿宋_GB2312"/>
          <w:i w:val="0"/>
          <w:iCs w:val="0"/>
          <w:caps w:val="0"/>
          <w:color w:val="24292F"/>
          <w:spacing w:val="0"/>
          <w:sz w:val="32"/>
          <w:szCs w:val="32"/>
          <w:lang w:val="en-US" w:eastAsia="zh-CN"/>
        </w:rPr>
        <w:t>容建筑面积、用地面积占比和功能的重要性综合确定主导用途（在土地供应时将确定主导用途的结论和理由应当写入供地方案）。各用途按面积占比大小或重要程度依次采用“+”符号连接,在控制性详细规</w:t>
      </w:r>
      <w:r>
        <w:rPr>
          <w:rFonts w:hint="eastAsia" w:ascii="仿宋_GB2312" w:hAnsi="仿宋_GB2312" w:eastAsia="仿宋_GB2312" w:cs="仿宋_GB2312"/>
          <w:i w:val="0"/>
          <w:iCs w:val="0"/>
          <w:caps w:val="0"/>
          <w:color w:val="24292F"/>
          <w:spacing w:val="0"/>
          <w:sz w:val="32"/>
          <w:szCs w:val="32"/>
        </w:rPr>
        <w:t>划中明确表达。鼓励有条件的地块编制详细设计方案，确定混合用地项目建筑设计布局、建筑风格风貌、建筑色彩等要求，并落实到控制性详细规划管理图则中</w:t>
      </w:r>
      <w:r>
        <w:rPr>
          <w:rFonts w:hint="eastAsia" w:ascii="仿宋_GB2312" w:hAnsi="仿宋_GB2312" w:eastAsia="仿宋_GB2312" w:cs="仿宋_GB2312"/>
          <w:i w:val="0"/>
          <w:iCs w:val="0"/>
          <w:caps w:val="0"/>
          <w:color w:val="24292F"/>
          <w:spacing w:val="0"/>
          <w:sz w:val="32"/>
          <w:szCs w:val="32"/>
          <w:highlight w:val="none"/>
        </w:rPr>
        <w:t>。规委会着重审议土地</w:t>
      </w:r>
      <w:r>
        <w:rPr>
          <w:rFonts w:hint="eastAsia" w:ascii="仿宋_GB2312" w:hAnsi="仿宋_GB2312" w:eastAsia="仿宋_GB2312" w:cs="仿宋_GB2312"/>
          <w:i w:val="0"/>
          <w:iCs w:val="0"/>
          <w:caps w:val="0"/>
          <w:color w:val="24292F"/>
          <w:spacing w:val="0"/>
          <w:sz w:val="32"/>
          <w:szCs w:val="32"/>
        </w:rPr>
        <w:t>混合使用是否符合环境相容、保障公益、结构平衡和景观协调的原则，充分考虑混合用地项目的必要性、合理性。</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i w:val="0"/>
          <w:iCs w:val="0"/>
          <w:caps w:val="0"/>
          <w:color w:val="24292F"/>
          <w:spacing w:val="0"/>
          <w:sz w:val="32"/>
          <w:szCs w:val="32"/>
          <w:lang w:val="en-US" w:eastAsia="zh-CN"/>
        </w:rPr>
      </w:pPr>
      <w:r>
        <w:rPr>
          <w:rFonts w:hint="eastAsia" w:ascii="仿宋_GB2312" w:hAnsi="仿宋_GB2312" w:eastAsia="仿宋_GB2312" w:cs="仿宋_GB2312"/>
          <w:b w:val="0"/>
          <w:bCs w:val="0"/>
          <w:i w:val="0"/>
          <w:iCs w:val="0"/>
          <w:caps w:val="0"/>
          <w:color w:val="24292F"/>
          <w:spacing w:val="0"/>
          <w:sz w:val="32"/>
          <w:szCs w:val="32"/>
          <w:highlight w:val="none"/>
          <w:shd w:val="clear" w:color="auto" w:fill="auto"/>
          <w:lang w:val="en-US" w:eastAsia="zh-CN"/>
        </w:rPr>
        <w:t>3.规划设计要求。</w:t>
      </w:r>
      <w:r>
        <w:rPr>
          <w:rFonts w:hint="eastAsia" w:ascii="仿宋_GB2312" w:hAnsi="仿宋_GB2312" w:eastAsia="仿宋_GB2312" w:cs="仿宋_GB2312"/>
          <w:i w:val="0"/>
          <w:iCs w:val="0"/>
          <w:caps w:val="0"/>
          <w:color w:val="24292F"/>
          <w:spacing w:val="0"/>
          <w:sz w:val="32"/>
          <w:szCs w:val="32"/>
          <w:highlight w:val="none"/>
          <w:shd w:val="clear" w:color="auto" w:fill="auto"/>
          <w:lang w:val="en-US" w:eastAsia="zh-CN"/>
        </w:rPr>
        <w:t>混</w:t>
      </w:r>
      <w:r>
        <w:rPr>
          <w:rFonts w:hint="eastAsia" w:ascii="仿宋_GB2312" w:hAnsi="仿宋_GB2312" w:eastAsia="仿宋_GB2312" w:cs="仿宋_GB2312"/>
          <w:i w:val="0"/>
          <w:iCs w:val="0"/>
          <w:caps w:val="0"/>
          <w:color w:val="24292F"/>
          <w:spacing w:val="0"/>
          <w:sz w:val="32"/>
          <w:szCs w:val="32"/>
          <w:lang w:val="en-US" w:eastAsia="zh-CN"/>
        </w:rPr>
        <w:t>合用地应落实片区城市设计控制引导要求，依据产业自身特色及发展要求，细化功能布局，优化空间形态，营造特色空间和景观节点，强化道路界面控制和天际线塑造，创造满足新型产业发展、人才集聚需求的高品质空间环境。用地建筑风格应与整体城市环境相融合，产业用房和配套用房的建筑风格宜保持统一协调。</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24292F"/>
          <w:spacing w:val="0"/>
          <w:sz w:val="32"/>
          <w:szCs w:val="32"/>
          <w:lang w:val="en-US" w:eastAsia="zh-CN"/>
        </w:rPr>
      </w:pPr>
      <w:r>
        <w:rPr>
          <w:rFonts w:hint="eastAsia" w:ascii="仿宋_GB2312" w:hAnsi="仿宋_GB2312" w:eastAsia="仿宋_GB2312" w:cs="仿宋_GB2312"/>
          <w:i w:val="0"/>
          <w:iCs w:val="0"/>
          <w:caps w:val="0"/>
          <w:color w:val="24292F"/>
          <w:spacing w:val="0"/>
          <w:sz w:val="32"/>
          <w:szCs w:val="32"/>
          <w:lang w:val="en-US" w:eastAsia="zh-CN"/>
        </w:rPr>
        <w:t>用于研发设计的用房，可参照商务办公建筑设计规范进行设计，消防按照商务办公建筑进行核验;用于生产制造的用房，应符合工业建筑设计规范;单体建筑中，工业建筑不能与民用建筑组合设计。鼓励新型产业用地内的配套设施按照适应性原则相对集中布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土地供应</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lang w:val="en-US" w:eastAsia="zh-CN"/>
        </w:rPr>
      </w:pPr>
      <w:r>
        <w:rPr>
          <w:rFonts w:hint="eastAsia" w:ascii="楷体_GB2312" w:hAnsi="楷体_GB2312" w:eastAsia="楷体_GB2312" w:cs="楷体_GB2312"/>
          <w:b/>
          <w:bCs/>
          <w:i w:val="0"/>
          <w:iCs w:val="0"/>
          <w:caps w:val="0"/>
          <w:color w:val="24292F"/>
          <w:spacing w:val="0"/>
          <w:sz w:val="32"/>
          <w:szCs w:val="32"/>
          <w:lang w:val="en-US" w:eastAsia="zh-CN"/>
        </w:rPr>
        <w:t>（一）供应模式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1.地价确定。混合用地应结合</w:t>
      </w:r>
      <w:r>
        <w:rPr>
          <w:rFonts w:hint="eastAsia" w:ascii="仿宋_GB2312" w:hAnsi="仿宋_GB2312" w:eastAsia="仿宋_GB2312" w:cs="仿宋_GB2312"/>
          <w:sz w:val="32"/>
          <w:szCs w:val="32"/>
          <w:lang w:val="en-US" w:eastAsia="zh-CN"/>
        </w:rPr>
        <w:t>规划条件、房屋分割权利限制及使用年期等要求,对土地价值进行综合评估，并结合相关产业政策要求（如自持物业的商服用地、新型工业用地等），在不低于基准地价情况下，由土地供应决策小组集体决策确定土地出让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弹性年期出让的，出让价格按照法定最高使用年期进行年期修正。采用先租后让供应的，租让起始总价、先期租赁的土地租金经市场评估后由集体决策确定，后期租赁转出让的土地价款，按土地租让总价扣除已缴纳租金的余额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2.使用年期。因混合用地各用途不同最高出让年限不一致的，原则上按最短年限确定整宗地出让年限。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3.供应方式。混合用地原则上按照主导用途确定供应方式。</w:t>
      </w:r>
      <w:r>
        <w:rPr>
          <w:rFonts w:hint="eastAsia" w:ascii="仿宋_GB2312" w:hAnsi="仿宋_GB2312" w:eastAsia="仿宋_GB2312" w:cs="仿宋_GB2312"/>
          <w:color w:val="auto"/>
          <w:sz w:val="32"/>
          <w:szCs w:val="32"/>
          <w:lang w:val="en-US" w:eastAsia="zh-CN"/>
        </w:rPr>
        <w:t>主导用途为经营性用地的应采取挂牌方式供应，与城市公用设施配套用地同步建设且不能分割实施的，城市公用设施用地地价按程序评估确定后计入挂牌出让起始价。为严格落实各项规划指标要求，保证建设品质，鼓励实施</w:t>
      </w:r>
      <w:r>
        <w:rPr>
          <w:rFonts w:hint="eastAsia" w:ascii="仿宋_GB2312" w:hAnsi="仿宋_GB2312" w:eastAsia="仿宋_GB2312" w:cs="仿宋_GB2312"/>
          <w:sz w:val="32"/>
          <w:szCs w:val="32"/>
          <w:lang w:val="en-US" w:eastAsia="zh-CN"/>
        </w:rPr>
        <w:t>带设计方案供应。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企业竞得土地后，可以在郑州市依法注册设立全资子公司，并通过签订土地使用权出让合同补充协议，将土地使用权变更至全资子公司名下，相关事项应在出让公告中明确。</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lang w:val="en-US" w:eastAsia="zh-CN"/>
        </w:rPr>
      </w:pPr>
      <w:r>
        <w:rPr>
          <w:rFonts w:hint="eastAsia" w:ascii="楷体_GB2312" w:hAnsi="楷体_GB2312" w:eastAsia="楷体_GB2312" w:cs="楷体_GB2312"/>
          <w:b/>
          <w:bCs/>
          <w:i w:val="0"/>
          <w:iCs w:val="0"/>
          <w:caps w:val="0"/>
          <w:color w:val="24292F"/>
          <w:spacing w:val="0"/>
          <w:sz w:val="32"/>
          <w:szCs w:val="32"/>
          <w:lang w:val="en-US" w:eastAsia="zh-CN"/>
        </w:rPr>
        <w:t>（二）权属登记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动产登记。土地成交完成且已缴纳相关土地出让金及税费后按照不动产登记的有关规定办理不动产权证书，土地用途按土地利用现状分类二级类填写主导用途，同时在附记注明各用途计容建筑面积。土地出让合同约定应当移交相关部门的部分建筑，可分证办理，并在不动产登记系统中附记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割转让。从严控制混合用地项目房屋分割，以工业用地为主导的产业混合用地可参照《郑州市城市有机更新工作中新型产业用地管理办法》（郑办〔2022〕58号）“在不改变产业用地用途且符合规划的前提下经辖区政府(管委会)研究批准后，可按幢、层、间为基本分割单元办理不动产登记手续，最小分割单元面积为300平方米”办理房屋分割登记，项目配套行政办公、生活服务设施不得单独分割转让、抵押。其他类型混合用地房屋分割按规定办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lang w:val="en-US" w:eastAsia="zh-CN"/>
        </w:rPr>
      </w:pPr>
      <w:r>
        <w:rPr>
          <w:rFonts w:hint="eastAsia" w:ascii="楷体_GB2312" w:hAnsi="楷体_GB2312" w:eastAsia="楷体_GB2312" w:cs="楷体_GB2312"/>
          <w:b/>
          <w:bCs/>
          <w:i w:val="0"/>
          <w:iCs w:val="0"/>
          <w:caps w:val="0"/>
          <w:color w:val="24292F"/>
          <w:spacing w:val="0"/>
          <w:sz w:val="32"/>
          <w:szCs w:val="32"/>
          <w:lang w:val="en-US" w:eastAsia="zh-CN"/>
        </w:rPr>
        <w:t>（三）轨道交通TOD综合开发利用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轨道交通TOD综合开发利用，依据《郑州市城市轨道交通场站及周边土地综合开发实施办法（暂行）》和《郑州市轨道交通段（场）及站点上盖物业综合开发控制性详细规划编制细则（试行）》进行土地供应。</w:t>
      </w:r>
      <w:r>
        <w:rPr>
          <w:rFonts w:hint="eastAsia" w:ascii="仿宋_GB2312" w:hAnsi="仿宋_GB2312" w:eastAsia="仿宋_GB2312" w:cs="仿宋_GB2312"/>
          <w:color w:val="auto"/>
          <w:sz w:val="32"/>
          <w:szCs w:val="32"/>
          <w:lang w:val="en-US" w:eastAsia="zh-CN"/>
        </w:rPr>
        <w:t>轨道交通TOD综合开发利用，涉及产业用地的，可按本意见执行。其他法律、行政法规及政策文件另有规定的，从其规定。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firstLine="643" w:firstLineChars="200"/>
        <w:textAlignment w:val="auto"/>
        <w:outlineLvl w:val="1"/>
        <w:rPr>
          <w:rFonts w:hint="eastAsia" w:ascii="楷体_GB2312" w:hAnsi="楷体_GB2312" w:eastAsia="楷体_GB2312" w:cs="楷体_GB2312"/>
          <w:b/>
          <w:bCs/>
          <w:i w:val="0"/>
          <w:iCs w:val="0"/>
          <w:caps w:val="0"/>
          <w:color w:val="24292F"/>
          <w:spacing w:val="0"/>
          <w:sz w:val="32"/>
          <w:szCs w:val="32"/>
          <w:lang w:val="en-US" w:eastAsia="zh-CN"/>
        </w:rPr>
      </w:pPr>
      <w:r>
        <w:rPr>
          <w:rFonts w:hint="eastAsia" w:ascii="楷体_GB2312" w:hAnsi="楷体_GB2312" w:eastAsia="楷体_GB2312" w:cs="楷体_GB2312"/>
          <w:b/>
          <w:bCs/>
          <w:i w:val="0"/>
          <w:iCs w:val="0"/>
          <w:caps w:val="0"/>
          <w:color w:val="24292F"/>
          <w:spacing w:val="0"/>
          <w:sz w:val="32"/>
          <w:szCs w:val="32"/>
          <w:lang w:val="en-US" w:eastAsia="zh-CN"/>
        </w:rPr>
        <w:t>（四）存量管理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lang w:val="en-US" w:eastAsia="zh-CN"/>
        </w:rPr>
      </w:pPr>
      <w:r>
        <w:rPr>
          <w:rFonts w:hint="eastAsia" w:ascii="仿宋_GB2312" w:hAnsi="仿宋_GB2312" w:eastAsia="仿宋_GB2312" w:cs="仿宋_GB2312"/>
          <w:sz w:val="32"/>
          <w:szCs w:val="32"/>
          <w:lang w:val="en-US" w:eastAsia="zh-CN"/>
        </w:rPr>
        <w:t>1.存量处置。复合改造、用地转让及出让金的补缴等按照相关法律法规及《郑州市城市有机更新工作中新型产业用地管理办法》（郑办〔2022〕58号）、《郑州市人民政府关于印发郑州市地下空间开发利用管理暂行规定的通知等文</w:t>
      </w:r>
      <w:r>
        <w:rPr>
          <w:rFonts w:hint="eastAsia" w:ascii="仿宋_GB2312" w:hAnsi="仿宋_GB2312" w:eastAsia="仿宋_GB2312" w:cs="仿宋_GB2312"/>
          <w:i w:val="0"/>
          <w:iCs w:val="0"/>
          <w:caps w:val="0"/>
          <w:color w:val="24292F"/>
          <w:spacing w:val="0"/>
          <w:sz w:val="32"/>
          <w:szCs w:val="32"/>
          <w:lang w:val="en-US" w:eastAsia="zh-CN"/>
        </w:rPr>
        <w:t>件执行》（郑政[2021]14号）等文件要求执行。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lang w:val="en-US" w:eastAsia="zh-CN"/>
        </w:rPr>
      </w:pPr>
      <w:r>
        <w:rPr>
          <w:rFonts w:hint="eastAsia" w:ascii="仿宋_GB2312" w:hAnsi="仿宋_GB2312" w:eastAsia="仿宋_GB2312" w:cs="仿宋_GB2312"/>
          <w:i w:val="0"/>
          <w:iCs w:val="0"/>
          <w:caps w:val="0"/>
          <w:color w:val="24292F"/>
          <w:spacing w:val="0"/>
          <w:sz w:val="32"/>
          <w:szCs w:val="32"/>
          <w:lang w:val="en-US" w:eastAsia="zh-CN"/>
        </w:rPr>
        <w:t>2.方案调整。取得土地使用权后，在不突破项目总计容建筑面积及各用途总计容建筑面积的前提下，允许在土地出让合同约定的用途复合范围及构成比例范围内进行调整，土地使用权人应当持调整方案（调整比例、建筑指标、总平面方案等）向项目所在地自然资源规划部门备案，签订补充合同，无需补缴地价。（参照厦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产业监管与产业运营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rPr>
      </w:pPr>
      <w:r>
        <w:rPr>
          <w:rFonts w:hint="eastAsia" w:ascii="仿宋_GB2312" w:hAnsi="仿宋_GB2312" w:eastAsia="仿宋_GB2312" w:cs="仿宋_GB2312"/>
          <w:i w:val="0"/>
          <w:iCs w:val="0"/>
          <w:caps w:val="0"/>
          <w:color w:val="24292F"/>
          <w:spacing w:val="0"/>
          <w:sz w:val="32"/>
          <w:szCs w:val="32"/>
          <w:lang w:val="en-US" w:eastAsia="zh-CN"/>
        </w:rPr>
        <w:t>1.项目监管协议</w:t>
      </w:r>
      <w:r>
        <w:rPr>
          <w:rFonts w:hint="eastAsia" w:ascii="仿宋_GB2312" w:hAnsi="仿宋_GB2312" w:eastAsia="仿宋_GB2312" w:cs="仿宋_GB2312"/>
          <w:i w:val="0"/>
          <w:iCs w:val="0"/>
          <w:caps w:val="0"/>
          <w:color w:val="24292F"/>
          <w:spacing w:val="0"/>
          <w:sz w:val="32"/>
          <w:szCs w:val="32"/>
        </w:rPr>
        <w:t>。企业竞得土地后须与各区政府签订项目监管协议。项目监管协议包括但不限于设计要求房屋建设标准、产业配套服务与运营管理等相关内容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rPr>
      </w:pPr>
      <w:r>
        <w:rPr>
          <w:rFonts w:hint="eastAsia" w:ascii="仿宋_GB2312" w:hAnsi="仿宋_GB2312" w:eastAsia="仿宋_GB2312" w:cs="仿宋_GB2312"/>
          <w:i w:val="0"/>
          <w:iCs w:val="0"/>
          <w:caps w:val="0"/>
          <w:color w:val="24292F"/>
          <w:spacing w:val="0"/>
          <w:sz w:val="32"/>
          <w:szCs w:val="32"/>
          <w:lang w:val="en-US" w:eastAsia="zh-CN"/>
        </w:rPr>
        <w:t>2.</w:t>
      </w:r>
      <w:r>
        <w:rPr>
          <w:rFonts w:hint="eastAsia" w:ascii="仿宋_GB2312" w:hAnsi="仿宋_GB2312" w:eastAsia="仿宋_GB2312" w:cs="仿宋_GB2312"/>
          <w:i w:val="0"/>
          <w:iCs w:val="0"/>
          <w:caps w:val="0"/>
          <w:color w:val="24292F"/>
          <w:spacing w:val="0"/>
          <w:sz w:val="32"/>
          <w:szCs w:val="32"/>
        </w:rPr>
        <w:t>产业发展监管协议。购置产业用房的企业购置产业用房时须与区产业主管部门共同签订三方产业发展监管协议。产业发展监管协议的内容句括但不限于产业准入条件、产出效率、企业贡献、节能环保二次转让条件、退出机制、抵押限制、强制执行、违约责任、失信行为惩戒等相关条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保障措施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rPr>
      </w:pPr>
      <w:r>
        <w:rPr>
          <w:rFonts w:hint="eastAsia" w:ascii="楷体_GB2312" w:hAnsi="楷体_GB2312" w:eastAsia="楷体_GB2312" w:cs="楷体_GB2312"/>
          <w:i w:val="0"/>
          <w:iCs w:val="0"/>
          <w:caps w:val="0"/>
          <w:color w:val="24292F"/>
          <w:spacing w:val="0"/>
          <w:sz w:val="32"/>
          <w:szCs w:val="32"/>
        </w:rPr>
        <w:t>落实职责分工</w:t>
      </w:r>
      <w:r>
        <w:rPr>
          <w:rFonts w:hint="eastAsia" w:ascii="仿宋_GB2312" w:hAnsi="仿宋_GB2312" w:eastAsia="仿宋_GB2312" w:cs="仿宋_GB2312"/>
          <w:i w:val="0"/>
          <w:iCs w:val="0"/>
          <w:caps w:val="0"/>
          <w:color w:val="24292F"/>
          <w:spacing w:val="0"/>
          <w:sz w:val="32"/>
          <w:szCs w:val="32"/>
        </w:rPr>
        <w:t>。各相关单位要提高思想认识，完善工作机制，落实工作责任，确保本方案确定的各类工作事项落到实处。各区政府（管委会）应当统筹协调试点项目的推进工作；资源规划部门负责核定规划条件、编制出让方案、组织土地出让及后续规划功能调整的合规性审查工作；建设、市场监督、住房等部门依职责开展混合产业用地项目建设、开发运营等过程中的相关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24292F"/>
          <w:spacing w:val="0"/>
          <w:sz w:val="32"/>
          <w:szCs w:val="32"/>
          <w:lang w:eastAsia="zh-CN"/>
        </w:rPr>
      </w:pPr>
      <w:r>
        <w:rPr>
          <w:rFonts w:hint="eastAsia" w:ascii="楷体_GB2312" w:hAnsi="楷体_GB2312" w:eastAsia="楷体_GB2312" w:cs="楷体_GB2312"/>
          <w:i w:val="0"/>
          <w:iCs w:val="0"/>
          <w:caps w:val="0"/>
          <w:color w:val="24292F"/>
          <w:spacing w:val="0"/>
          <w:sz w:val="32"/>
          <w:szCs w:val="32"/>
          <w:lang w:val="en-US" w:eastAsia="zh-CN"/>
        </w:rPr>
        <w:t>加强信用监管</w:t>
      </w:r>
      <w:r>
        <w:rPr>
          <w:rFonts w:hint="eastAsia" w:ascii="仿宋_GB2312" w:hAnsi="仿宋_GB2312" w:eastAsia="仿宋_GB2312" w:cs="仿宋_GB2312"/>
          <w:i w:val="0"/>
          <w:iCs w:val="0"/>
          <w:caps w:val="0"/>
          <w:color w:val="24292F"/>
          <w:spacing w:val="0"/>
          <w:sz w:val="32"/>
          <w:szCs w:val="32"/>
          <w:lang w:eastAsia="zh-CN"/>
        </w:rPr>
        <w:t>。</w:t>
      </w:r>
      <w:r>
        <w:rPr>
          <w:rFonts w:hint="eastAsia" w:ascii="仿宋_GB2312" w:hAnsi="仿宋_GB2312" w:eastAsia="仿宋_GB2312" w:cs="仿宋_GB2312"/>
          <w:i w:val="0"/>
          <w:iCs w:val="0"/>
          <w:caps w:val="0"/>
          <w:color w:val="24292F"/>
          <w:spacing w:val="0"/>
          <w:sz w:val="32"/>
          <w:szCs w:val="32"/>
        </w:rPr>
        <w:t>相关部门要加快构建以信用为基础的新型监管机制，推进分级分类监管，按照投资建设协议有关约定，将相关责任主体违法违规违约行为纳入信用档案管理</w:t>
      </w:r>
      <w:r>
        <w:rPr>
          <w:rFonts w:hint="eastAsia" w:ascii="仿宋_GB2312" w:hAnsi="仿宋_GB2312" w:eastAsia="仿宋_GB2312" w:cs="仿宋_GB2312"/>
          <w:i w:val="0"/>
          <w:iCs w:val="0"/>
          <w:caps w:val="0"/>
          <w:color w:val="24292F"/>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24292F"/>
          <w:spacing w:val="0"/>
          <w:sz w:val="32"/>
          <w:szCs w:val="32"/>
        </w:rPr>
      </w:pPr>
      <w:r>
        <w:rPr>
          <w:rFonts w:hint="eastAsia" w:ascii="楷体_GB2312" w:hAnsi="楷体_GB2312" w:eastAsia="楷体_GB2312" w:cs="楷体_GB2312"/>
          <w:i w:val="0"/>
          <w:iCs w:val="0"/>
          <w:caps w:val="0"/>
          <w:color w:val="24292F"/>
          <w:spacing w:val="0"/>
          <w:sz w:val="32"/>
          <w:szCs w:val="32"/>
        </w:rPr>
        <w:t>（</w:t>
      </w:r>
      <w:r>
        <w:rPr>
          <w:rFonts w:hint="eastAsia" w:ascii="楷体_GB2312" w:hAnsi="楷体_GB2312" w:eastAsia="楷体_GB2312" w:cs="楷体_GB2312"/>
          <w:i w:val="0"/>
          <w:iCs w:val="0"/>
          <w:caps w:val="0"/>
          <w:color w:val="24292F"/>
          <w:spacing w:val="0"/>
          <w:sz w:val="32"/>
          <w:szCs w:val="32"/>
          <w:lang w:val="en-US" w:eastAsia="zh-CN"/>
        </w:rPr>
        <w:t>三</w:t>
      </w:r>
      <w:r>
        <w:rPr>
          <w:rFonts w:hint="eastAsia" w:ascii="楷体_GB2312" w:hAnsi="楷体_GB2312" w:eastAsia="楷体_GB2312" w:cs="楷体_GB2312"/>
          <w:i w:val="0"/>
          <w:iCs w:val="0"/>
          <w:caps w:val="0"/>
          <w:color w:val="24292F"/>
          <w:spacing w:val="0"/>
          <w:sz w:val="32"/>
          <w:szCs w:val="32"/>
        </w:rPr>
        <w:t>）加大宣传引导</w:t>
      </w:r>
      <w:r>
        <w:rPr>
          <w:rFonts w:hint="eastAsia" w:ascii="仿宋_GB2312" w:hAnsi="仿宋_GB2312" w:eastAsia="仿宋_GB2312" w:cs="仿宋_GB2312"/>
          <w:i w:val="0"/>
          <w:iCs w:val="0"/>
          <w:caps w:val="0"/>
          <w:color w:val="24292F"/>
          <w:spacing w:val="0"/>
          <w:sz w:val="32"/>
          <w:szCs w:val="32"/>
        </w:rPr>
        <w:t>。各相关单位应当加强舆论引导，扩大宣传覆盖面，增进市场主体对试点工作的了解和支持，为工作的顺利推进营造良好的舆论环境。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楷体_GB2312" w:hAnsi="楷体_GB2312" w:eastAsia="楷体_GB2312" w:cs="楷体_GB2312"/>
          <w:i w:val="0"/>
          <w:iCs w:val="0"/>
          <w:caps w:val="0"/>
          <w:color w:val="24292F"/>
          <w:spacing w:val="0"/>
          <w:sz w:val="32"/>
          <w:szCs w:val="32"/>
        </w:rPr>
        <w:t>（</w:t>
      </w:r>
      <w:r>
        <w:rPr>
          <w:rFonts w:hint="eastAsia" w:ascii="楷体_GB2312" w:hAnsi="楷体_GB2312" w:eastAsia="楷体_GB2312" w:cs="楷体_GB2312"/>
          <w:i w:val="0"/>
          <w:iCs w:val="0"/>
          <w:caps w:val="0"/>
          <w:color w:val="24292F"/>
          <w:spacing w:val="0"/>
          <w:sz w:val="32"/>
          <w:szCs w:val="32"/>
          <w:lang w:val="en-US" w:eastAsia="zh-CN"/>
        </w:rPr>
        <w:t>四</w:t>
      </w:r>
      <w:r>
        <w:rPr>
          <w:rFonts w:hint="eastAsia" w:ascii="楷体_GB2312" w:hAnsi="楷体_GB2312" w:eastAsia="楷体_GB2312" w:cs="楷体_GB2312"/>
          <w:i w:val="0"/>
          <w:iCs w:val="0"/>
          <w:caps w:val="0"/>
          <w:color w:val="24292F"/>
          <w:spacing w:val="0"/>
          <w:sz w:val="32"/>
          <w:szCs w:val="32"/>
        </w:rPr>
        <w:t>）做好工作总结。</w:t>
      </w:r>
      <w:r>
        <w:rPr>
          <w:rFonts w:hint="eastAsia" w:ascii="仿宋_GB2312" w:hAnsi="仿宋_GB2312" w:eastAsia="仿宋_GB2312" w:cs="仿宋_GB2312"/>
          <w:i w:val="0"/>
          <w:iCs w:val="0"/>
          <w:caps w:val="0"/>
          <w:color w:val="24292F"/>
          <w:spacing w:val="0"/>
          <w:sz w:val="32"/>
          <w:szCs w:val="32"/>
        </w:rPr>
        <w:t>各相关单位认真做好</w:t>
      </w:r>
      <w:r>
        <w:rPr>
          <w:rFonts w:hint="eastAsia" w:ascii="仿宋_GB2312" w:hAnsi="仿宋_GB2312" w:eastAsia="仿宋_GB2312" w:cs="仿宋_GB2312"/>
          <w:i w:val="0"/>
          <w:iCs w:val="0"/>
          <w:caps w:val="0"/>
          <w:color w:val="24292F"/>
          <w:spacing w:val="0"/>
          <w:sz w:val="32"/>
          <w:szCs w:val="32"/>
          <w:lang w:val="en-US" w:eastAsia="zh-CN"/>
        </w:rPr>
        <w:t>工作</w:t>
      </w:r>
      <w:r>
        <w:rPr>
          <w:rFonts w:hint="eastAsia" w:ascii="仿宋_GB2312" w:hAnsi="仿宋_GB2312" w:eastAsia="仿宋_GB2312" w:cs="仿宋_GB2312"/>
          <w:i w:val="0"/>
          <w:iCs w:val="0"/>
          <w:caps w:val="0"/>
          <w:color w:val="24292F"/>
          <w:spacing w:val="0"/>
          <w:sz w:val="32"/>
          <w:szCs w:val="32"/>
        </w:rPr>
        <w:t>的跟踪评估，对实施情况、取得成效及存在问题进行全面分析，研提建议</w:t>
      </w:r>
      <w:r>
        <w:rPr>
          <w:rFonts w:hint="eastAsia" w:ascii="仿宋_GB2312" w:hAnsi="仿宋_GB2312" w:eastAsia="仿宋_GB2312" w:cs="仿宋_GB2312"/>
          <w:i w:val="0"/>
          <w:iCs w:val="0"/>
          <w:caps w:val="0"/>
          <w:color w:val="24292F"/>
          <w:spacing w:val="0"/>
          <w:sz w:val="32"/>
          <w:szCs w:val="32"/>
          <w:lang w:eastAsia="zh-CN"/>
        </w:rPr>
        <w:t>、</w:t>
      </w:r>
      <w:r>
        <w:rPr>
          <w:rFonts w:hint="eastAsia" w:ascii="仿宋_GB2312" w:hAnsi="仿宋_GB2312" w:eastAsia="仿宋_GB2312" w:cs="仿宋_GB2312"/>
          <w:i w:val="0"/>
          <w:iCs w:val="0"/>
          <w:caps w:val="0"/>
          <w:color w:val="24292F"/>
          <w:spacing w:val="0"/>
          <w:sz w:val="32"/>
          <w:szCs w:val="32"/>
        </w:rPr>
        <w:t>及时总结。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华文仿宋" w:hAnsi="华文仿宋" w:eastAsia="华文仿宋" w:cs="华文仿宋"/>
          <w:sz w:val="32"/>
          <w:szCs w:val="32"/>
          <w:lang w:val="en-US" w:eastAsia="zh-CN"/>
        </w:rPr>
      </w:pPr>
    </w:p>
    <w:sectPr>
      <w:footerReference r:id="rId3" w:type="default"/>
      <w:pgSz w:w="11906" w:h="16838"/>
      <w:pgMar w:top="2041" w:right="1531" w:bottom="1440" w:left="1531" w:header="851" w:footer="113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大标宋_GBK">
    <w:panose1 w:val="03000509000000000000"/>
    <w:charset w:val="86"/>
    <w:family w:val="auto"/>
    <w:pitch w:val="default"/>
    <w:sig w:usb0="00000001" w:usb1="080E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552A1"/>
    <w:multiLevelType w:val="singleLevel"/>
    <w:tmpl w:val="D9A552A1"/>
    <w:lvl w:ilvl="0" w:tentative="0">
      <w:start w:val="1"/>
      <w:numFmt w:val="chineseCounting"/>
      <w:suff w:val="nothing"/>
      <w:lvlText w:val="%1、"/>
      <w:lvlJc w:val="left"/>
      <w:rPr>
        <w:rFonts w:hint="eastAsia"/>
      </w:rPr>
    </w:lvl>
  </w:abstractNum>
  <w:abstractNum w:abstractNumId="1">
    <w:nsid w:val="EED110F5"/>
    <w:multiLevelType w:val="singleLevel"/>
    <w:tmpl w:val="EED110F5"/>
    <w:lvl w:ilvl="0" w:tentative="0">
      <w:start w:val="1"/>
      <w:numFmt w:val="chineseCounting"/>
      <w:suff w:val="nothing"/>
      <w:lvlText w:val="（%1）"/>
      <w:lvlJc w:val="left"/>
      <w:rPr>
        <w:rFonts w:hint="eastAsia"/>
      </w:rPr>
    </w:lvl>
  </w:abstractNum>
  <w:abstractNum w:abstractNumId="2">
    <w:nsid w:val="01672B2E"/>
    <w:multiLevelType w:val="singleLevel"/>
    <w:tmpl w:val="01672B2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zNjlhNWEzNTY2MTY2YjQ1NTY3Y2NiYjE2ZjQzNGYifQ=="/>
  </w:docVars>
  <w:rsids>
    <w:rsidRoot w:val="00D42F0A"/>
    <w:rsid w:val="003E0634"/>
    <w:rsid w:val="00876DDF"/>
    <w:rsid w:val="00C96768"/>
    <w:rsid w:val="00D37EA1"/>
    <w:rsid w:val="00D42F0A"/>
    <w:rsid w:val="067FED63"/>
    <w:rsid w:val="16FD89F8"/>
    <w:rsid w:val="19E3756D"/>
    <w:rsid w:val="1C7FEDDD"/>
    <w:rsid w:val="1DFFCC19"/>
    <w:rsid w:val="1EFCE422"/>
    <w:rsid w:val="1F0DC583"/>
    <w:rsid w:val="1F91E31F"/>
    <w:rsid w:val="1FED8BC0"/>
    <w:rsid w:val="23BE6B5A"/>
    <w:rsid w:val="2DD5375E"/>
    <w:rsid w:val="2EBF3016"/>
    <w:rsid w:val="2FBE6CDD"/>
    <w:rsid w:val="317D75F7"/>
    <w:rsid w:val="33F18C63"/>
    <w:rsid w:val="33FF581B"/>
    <w:rsid w:val="3577513C"/>
    <w:rsid w:val="35DB50AA"/>
    <w:rsid w:val="36EF7FDA"/>
    <w:rsid w:val="37AF68D3"/>
    <w:rsid w:val="397896E8"/>
    <w:rsid w:val="39C7561A"/>
    <w:rsid w:val="3ADFD566"/>
    <w:rsid w:val="3D5FFF6C"/>
    <w:rsid w:val="3DCD3239"/>
    <w:rsid w:val="3DD758F8"/>
    <w:rsid w:val="3DF9D5EF"/>
    <w:rsid w:val="3E179AA0"/>
    <w:rsid w:val="3F787BA0"/>
    <w:rsid w:val="3FDC09F7"/>
    <w:rsid w:val="3FE75E27"/>
    <w:rsid w:val="43B79CC2"/>
    <w:rsid w:val="43FEF42F"/>
    <w:rsid w:val="46DFD2F0"/>
    <w:rsid w:val="4A7FC8E9"/>
    <w:rsid w:val="4AFA86F6"/>
    <w:rsid w:val="57FE4FCB"/>
    <w:rsid w:val="5BFA7B80"/>
    <w:rsid w:val="5BFFCE31"/>
    <w:rsid w:val="5CFF29A6"/>
    <w:rsid w:val="5CFF3611"/>
    <w:rsid w:val="5D6AF87B"/>
    <w:rsid w:val="5F5241B0"/>
    <w:rsid w:val="5FAE356A"/>
    <w:rsid w:val="5FBCB369"/>
    <w:rsid w:val="5FED23E2"/>
    <w:rsid w:val="5FF95009"/>
    <w:rsid w:val="5FFF9134"/>
    <w:rsid w:val="639DA465"/>
    <w:rsid w:val="65126C98"/>
    <w:rsid w:val="6972C767"/>
    <w:rsid w:val="69777C74"/>
    <w:rsid w:val="697DE4DA"/>
    <w:rsid w:val="6BD70391"/>
    <w:rsid w:val="6C7F2689"/>
    <w:rsid w:val="6CF74EAE"/>
    <w:rsid w:val="6DDE1B34"/>
    <w:rsid w:val="6DED1D04"/>
    <w:rsid w:val="6DF92950"/>
    <w:rsid w:val="6FB72025"/>
    <w:rsid w:val="6FFE4858"/>
    <w:rsid w:val="717F5569"/>
    <w:rsid w:val="733F8DD1"/>
    <w:rsid w:val="74EB593A"/>
    <w:rsid w:val="753F7859"/>
    <w:rsid w:val="757FDAA3"/>
    <w:rsid w:val="772B11CD"/>
    <w:rsid w:val="7777EAC1"/>
    <w:rsid w:val="777F5220"/>
    <w:rsid w:val="77BA310C"/>
    <w:rsid w:val="77BD07C0"/>
    <w:rsid w:val="77C31DEE"/>
    <w:rsid w:val="77C990E2"/>
    <w:rsid w:val="77F3DD83"/>
    <w:rsid w:val="77F62C7B"/>
    <w:rsid w:val="77FDB104"/>
    <w:rsid w:val="7996A01C"/>
    <w:rsid w:val="79F7BF5F"/>
    <w:rsid w:val="79F92B1A"/>
    <w:rsid w:val="7B37F27D"/>
    <w:rsid w:val="7B3F85F0"/>
    <w:rsid w:val="7B7D823A"/>
    <w:rsid w:val="7B8B64A3"/>
    <w:rsid w:val="7BADC865"/>
    <w:rsid w:val="7BBF3C2D"/>
    <w:rsid w:val="7BBF8605"/>
    <w:rsid w:val="7BEAB3E0"/>
    <w:rsid w:val="7BEFE5DE"/>
    <w:rsid w:val="7BFBD296"/>
    <w:rsid w:val="7BFF57D5"/>
    <w:rsid w:val="7CFF5FFD"/>
    <w:rsid w:val="7D9BAF83"/>
    <w:rsid w:val="7DD1FDCE"/>
    <w:rsid w:val="7DF75D8E"/>
    <w:rsid w:val="7DFF775B"/>
    <w:rsid w:val="7E7F107F"/>
    <w:rsid w:val="7EDD97A3"/>
    <w:rsid w:val="7EEB9D18"/>
    <w:rsid w:val="7F3F9443"/>
    <w:rsid w:val="7F478B9C"/>
    <w:rsid w:val="7F6FA811"/>
    <w:rsid w:val="7F6FD48A"/>
    <w:rsid w:val="7FBBDF5F"/>
    <w:rsid w:val="7FCA819E"/>
    <w:rsid w:val="7FCEB986"/>
    <w:rsid w:val="7FEF72EA"/>
    <w:rsid w:val="7FF77EDB"/>
    <w:rsid w:val="8DBBDC79"/>
    <w:rsid w:val="96FDAA42"/>
    <w:rsid w:val="9F7689EF"/>
    <w:rsid w:val="9FAFB914"/>
    <w:rsid w:val="9FFF4688"/>
    <w:rsid w:val="AF35E079"/>
    <w:rsid w:val="B3F70FD9"/>
    <w:rsid w:val="B7B9C06B"/>
    <w:rsid w:val="BAF55573"/>
    <w:rsid w:val="BBBF4E0A"/>
    <w:rsid w:val="BCBFFD14"/>
    <w:rsid w:val="BD7E78AA"/>
    <w:rsid w:val="BDB69CEE"/>
    <w:rsid w:val="BDFD7BBC"/>
    <w:rsid w:val="BEDF1EE4"/>
    <w:rsid w:val="BEDF9A89"/>
    <w:rsid w:val="BF5F38DD"/>
    <w:rsid w:val="BF77F036"/>
    <w:rsid w:val="BF7FCFD4"/>
    <w:rsid w:val="BFAEDDB0"/>
    <w:rsid w:val="C3F382D1"/>
    <w:rsid w:val="CAF7E8DC"/>
    <w:rsid w:val="D2FFD3BB"/>
    <w:rsid w:val="D3C23189"/>
    <w:rsid w:val="D3CA8B59"/>
    <w:rsid w:val="D5DCC1D9"/>
    <w:rsid w:val="D5FFC728"/>
    <w:rsid w:val="D7AF1C9D"/>
    <w:rsid w:val="D7EF28FB"/>
    <w:rsid w:val="D7FB8868"/>
    <w:rsid w:val="DAB6044E"/>
    <w:rsid w:val="DBDF9C6C"/>
    <w:rsid w:val="DBFA05D4"/>
    <w:rsid w:val="DCFF91F5"/>
    <w:rsid w:val="DD1F1249"/>
    <w:rsid w:val="DDEDEA85"/>
    <w:rsid w:val="DDFFCE44"/>
    <w:rsid w:val="DEB72291"/>
    <w:rsid w:val="DF8A2459"/>
    <w:rsid w:val="DFAE6E6C"/>
    <w:rsid w:val="DFB78642"/>
    <w:rsid w:val="E3DC5FE5"/>
    <w:rsid w:val="E4FF82D4"/>
    <w:rsid w:val="E79F59E9"/>
    <w:rsid w:val="E7D56811"/>
    <w:rsid w:val="E9F7461E"/>
    <w:rsid w:val="EB3F64A8"/>
    <w:rsid w:val="EBB7DA58"/>
    <w:rsid w:val="EBD7896A"/>
    <w:rsid w:val="ED8688B6"/>
    <w:rsid w:val="EFAB5BA7"/>
    <w:rsid w:val="EFC75B9A"/>
    <w:rsid w:val="EFDF6E07"/>
    <w:rsid w:val="EFF7224F"/>
    <w:rsid w:val="F33F8BE5"/>
    <w:rsid w:val="F6B54E79"/>
    <w:rsid w:val="F6EFB009"/>
    <w:rsid w:val="F6FF3B89"/>
    <w:rsid w:val="F7CD071C"/>
    <w:rsid w:val="F7F6DD5F"/>
    <w:rsid w:val="F7FF44C7"/>
    <w:rsid w:val="F96B0EC1"/>
    <w:rsid w:val="F97FAC92"/>
    <w:rsid w:val="F9B769D7"/>
    <w:rsid w:val="FAF5C907"/>
    <w:rsid w:val="FB3B0E68"/>
    <w:rsid w:val="FB7B5E37"/>
    <w:rsid w:val="FBFF0750"/>
    <w:rsid w:val="FCF72612"/>
    <w:rsid w:val="FD7F747D"/>
    <w:rsid w:val="FDD68D91"/>
    <w:rsid w:val="FDDD1500"/>
    <w:rsid w:val="FDFC1081"/>
    <w:rsid w:val="FE7E5D2A"/>
    <w:rsid w:val="FEFF9F1D"/>
    <w:rsid w:val="FF273DC5"/>
    <w:rsid w:val="FF2BC670"/>
    <w:rsid w:val="FF73ABB4"/>
    <w:rsid w:val="FF73B124"/>
    <w:rsid w:val="FF7F8304"/>
    <w:rsid w:val="FFB3A05C"/>
    <w:rsid w:val="FFB73ED0"/>
    <w:rsid w:val="FFE33297"/>
    <w:rsid w:val="FFF9475E"/>
    <w:rsid w:val="FFFB1C30"/>
    <w:rsid w:val="FFFB3B3B"/>
    <w:rsid w:val="FFFBB272"/>
    <w:rsid w:val="FFFBF3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16</Pages>
  <Words>7384</Words>
  <Characters>7465</Characters>
  <Lines>0</Lines>
  <Paragraphs>0</Paragraphs>
  <TotalTime>16</TotalTime>
  <ScaleCrop>false</ScaleCrop>
  <LinksUpToDate>false</LinksUpToDate>
  <CharactersWithSpaces>7505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2021-05-13T07:28:00Z</dcterms:created>
  <dc:creator>User274</dc:creator>
  <cp:lastModifiedBy>Admin</cp:lastModifiedBy>
  <dcterms:modified xsi:type="dcterms:W3CDTF">2023-12-11T09:06:28Z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7AF980B07CEA4AA59F679A2A76B7F87E</vt:lpwstr>
  </property>
</Properties>
</file>